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0019A8BC"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w:t>
      </w:r>
      <w:r w:rsidR="00991D37">
        <w:rPr>
          <w:rFonts w:eastAsia="Times New Roman"/>
          <w:b/>
          <w:noProof/>
          <w:sz w:val="24"/>
        </w:rPr>
        <w:t>7</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w:t>
      </w:r>
      <w:r w:rsidR="004F624F">
        <w:rPr>
          <w:rFonts w:eastAsia="Times New Roman"/>
          <w:b/>
          <w:noProof/>
          <w:sz w:val="24"/>
        </w:rPr>
        <w:t>1</w:t>
      </w:r>
      <w:r w:rsidR="003C633B">
        <w:rPr>
          <w:rFonts w:eastAsia="Times New Roman"/>
          <w:b/>
          <w:noProof/>
          <w:sz w:val="24"/>
        </w:rPr>
        <w:t>6067</w:t>
      </w:r>
    </w:p>
    <w:p w14:paraId="015AD352" w14:textId="328FF38A" w:rsidR="00F21F81" w:rsidRDefault="00E3585D" w:rsidP="00F21F81">
      <w:pPr>
        <w:pStyle w:val="a"/>
        <w:rPr>
          <w:rFonts w:eastAsia="SimSun"/>
          <w:bCs w:val="0"/>
          <w:sz w:val="24"/>
          <w:lang w:eastAsia="zh-CN"/>
        </w:rPr>
      </w:pPr>
      <w:bookmarkStart w:id="2" w:name="OLE_LINK1"/>
      <w:bookmarkStart w:id="3" w:name="OLE_LINK2"/>
      <w:r>
        <w:rPr>
          <w:rFonts w:eastAsia="SimSun"/>
          <w:bCs w:val="0"/>
          <w:sz w:val="24"/>
          <w:lang w:eastAsia="zh-CN"/>
        </w:rPr>
        <w:t xml:space="preserve">Online, </w:t>
      </w:r>
      <w:r w:rsidR="00991D37">
        <w:rPr>
          <w:rFonts w:eastAsia="SimSun"/>
          <w:bCs w:val="0"/>
          <w:sz w:val="24"/>
          <w:lang w:eastAsia="zh-CN"/>
        </w:rPr>
        <w:t>2</w:t>
      </w:r>
      <w:r w:rsidR="00260FA5">
        <w:rPr>
          <w:rFonts w:eastAsia="SimSun"/>
          <w:bCs w:val="0"/>
          <w:sz w:val="24"/>
          <w:lang w:eastAsia="zh-CN"/>
        </w:rPr>
        <w:t xml:space="preserve"> – </w:t>
      </w:r>
      <w:r w:rsidR="00991D37">
        <w:rPr>
          <w:rFonts w:eastAsia="SimSun"/>
          <w:bCs w:val="0"/>
          <w:sz w:val="24"/>
          <w:lang w:eastAsia="zh-CN"/>
        </w:rPr>
        <w:t>13</w:t>
      </w:r>
      <w:r w:rsidR="00260FA5">
        <w:rPr>
          <w:rFonts w:eastAsia="SimSun"/>
          <w:bCs w:val="0"/>
          <w:sz w:val="24"/>
          <w:lang w:eastAsia="zh-CN"/>
        </w:rPr>
        <w:t xml:space="preserve"> </w:t>
      </w:r>
      <w:r w:rsidR="00991D37">
        <w:rPr>
          <w:rFonts w:eastAsia="SimSun"/>
          <w:bCs w:val="0"/>
          <w:sz w:val="24"/>
          <w:lang w:eastAsia="zh-CN"/>
        </w:rPr>
        <w:t>Nov</w:t>
      </w:r>
      <w:r w:rsidR="00F21F81" w:rsidRPr="009F4EEE">
        <w:rPr>
          <w:rFonts w:eastAsia="SimSun"/>
          <w:bCs w:val="0"/>
          <w:sz w:val="24"/>
          <w:lang w:eastAsia="zh-CN"/>
        </w:rPr>
        <w:t xml:space="preserve"> 20</w:t>
      </w:r>
      <w:bookmarkEnd w:id="2"/>
      <w:bookmarkEnd w:id="3"/>
      <w:r w:rsidR="00F21F81">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53F0EE4" w14:textId="77777777" w:rsidR="003C633B" w:rsidRDefault="00D64225" w:rsidP="0090255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C633B" w:rsidRPr="003C633B">
        <w:rPr>
          <w:rFonts w:ascii="Arial" w:hAnsi="Arial" w:cs="Arial"/>
          <w:sz w:val="22"/>
        </w:rPr>
        <w:t>Discussion on CLTA maximum height</w:t>
      </w:r>
    </w:p>
    <w:p w14:paraId="3ACA12DB" w14:textId="13E27165"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C633B">
        <w:rPr>
          <w:rFonts w:ascii="Arial" w:hAnsi="Arial" w:cs="Arial"/>
          <w:sz w:val="22"/>
        </w:rPr>
        <w:t>4.</w:t>
      </w:r>
      <w:r w:rsidR="003C633B">
        <w:rPr>
          <w:rFonts w:ascii="Arial" w:eastAsia="SimSun" w:hAnsi="Arial" w:cs="Arial"/>
          <w:sz w:val="22"/>
          <w:lang w:eastAsia="zh-CN"/>
        </w:rPr>
        <w:t>5.2.3</w:t>
      </w:r>
    </w:p>
    <w:p w14:paraId="754225A9" w14:textId="43C152EB"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F624F">
        <w:rPr>
          <w:rFonts w:ascii="Arial" w:eastAsia="SimSun" w:hAnsi="Arial" w:cs="Arial"/>
          <w:sz w:val="22"/>
          <w:lang w:eastAsia="zh-CN"/>
        </w:rPr>
        <w:t>Discussion</w:t>
      </w:r>
    </w:p>
    <w:bookmarkEnd w:id="0"/>
    <w:bookmarkEnd w:id="1"/>
    <w:p w14:paraId="7B117B1D" w14:textId="6E45AF03" w:rsidR="000A7DD0" w:rsidRDefault="00010276" w:rsidP="004D4F95">
      <w:pPr>
        <w:pStyle w:val="Heading1"/>
        <w:numPr>
          <w:ilvl w:val="0"/>
          <w:numId w:val="1"/>
        </w:numPr>
        <w:rPr>
          <w:rFonts w:eastAsia="SimSun"/>
        </w:rPr>
      </w:pPr>
      <w:r>
        <w:rPr>
          <w:rFonts w:eastAsia="SimSun"/>
        </w:rPr>
        <w:t>Introduction</w:t>
      </w:r>
    </w:p>
    <w:p w14:paraId="23029900" w14:textId="7DD466C0" w:rsidR="00991D37" w:rsidRDefault="00991D37" w:rsidP="00A31E0C">
      <w:r>
        <w:rPr>
          <w:rFonts w:hint="eastAsia"/>
        </w:rPr>
        <w:t>H</w:t>
      </w:r>
      <w:r>
        <w:t>aving agreed to update the CLTA definition in [1], the last meeting 4 different approaches were proposed, and these were narrowed down to 2 in the WF [2].</w:t>
      </w:r>
    </w:p>
    <w:p w14:paraId="057BCECB" w14:textId="6626C870" w:rsidR="005B2E18" w:rsidRPr="005E3F90" w:rsidRDefault="00991D37" w:rsidP="00A31E0C">
      <w:r>
        <w:t>This paper gives our view on the remaining 2 proposals.</w:t>
      </w:r>
    </w:p>
    <w:p w14:paraId="09E93716" w14:textId="053E6A5C" w:rsidR="00991D37" w:rsidRDefault="00991D37" w:rsidP="00991D37">
      <w:r>
        <w:rPr>
          <w:rFonts w:hint="eastAsia"/>
        </w:rPr>
        <w:t>I</w:t>
      </w:r>
      <w:r>
        <w:t xml:space="preserve">n the WF 2 proposal remain, both options were approved with the provision for possible enhancements if </w:t>
      </w:r>
      <w:r w:rsidR="000A13DA">
        <w:t>necessary</w:t>
      </w:r>
    </w:p>
    <w:p w14:paraId="31CA0133" w14:textId="706CE871" w:rsidR="00991D37" w:rsidRPr="005E3F90" w:rsidRDefault="00991D37" w:rsidP="00991D37">
      <w:pPr>
        <w:rPr>
          <w:b/>
          <w:u w:val="single"/>
        </w:rPr>
      </w:pPr>
      <w:r w:rsidRPr="005E3F90">
        <w:rPr>
          <w:b/>
          <w:u w:val="single"/>
        </w:rPr>
        <w:t xml:space="preserve">Option 1: </w:t>
      </w:r>
    </w:p>
    <w:tbl>
      <w:tblPr>
        <w:tblStyle w:val="Tabellengitternetz1"/>
        <w:tblW w:w="8930" w:type="dxa"/>
        <w:jc w:val="center"/>
        <w:tblLook w:val="04A0" w:firstRow="1" w:lastRow="0" w:firstColumn="1" w:lastColumn="0" w:noHBand="0" w:noVBand="1"/>
      </w:tblPr>
      <w:tblGrid>
        <w:gridCol w:w="3686"/>
        <w:gridCol w:w="2383"/>
        <w:gridCol w:w="2861"/>
      </w:tblGrid>
      <w:tr w:rsidR="00991D37" w14:paraId="6335B0DD" w14:textId="77777777" w:rsidTr="00511D65">
        <w:trPr>
          <w:trHeight w:val="300"/>
          <w:jc w:val="center"/>
        </w:trPr>
        <w:tc>
          <w:tcPr>
            <w:tcW w:w="3686" w:type="dxa"/>
            <w:tcBorders>
              <w:top w:val="single" w:sz="4" w:space="0" w:color="auto"/>
              <w:left w:val="single" w:sz="4" w:space="0" w:color="auto"/>
              <w:bottom w:val="single" w:sz="4" w:space="0" w:color="auto"/>
              <w:right w:val="single" w:sz="4" w:space="0" w:color="auto"/>
            </w:tcBorders>
            <w:noWrap/>
            <w:hideMark/>
          </w:tcPr>
          <w:p w14:paraId="3F861C86" w14:textId="77777777" w:rsidR="00991D37" w:rsidRDefault="00991D37" w:rsidP="00511D65">
            <w:pPr>
              <w:pStyle w:val="TAH"/>
              <w:rPr>
                <w:lang w:eastAsia="en-GB"/>
              </w:rPr>
            </w:pPr>
            <w:r>
              <w:rPr>
                <w:lang w:eastAsia="en-GB"/>
              </w:rPr>
              <w:t>Parameter</w:t>
            </w:r>
          </w:p>
        </w:tc>
        <w:tc>
          <w:tcPr>
            <w:tcW w:w="2383" w:type="dxa"/>
            <w:tcBorders>
              <w:top w:val="single" w:sz="4" w:space="0" w:color="auto"/>
              <w:left w:val="single" w:sz="4" w:space="0" w:color="auto"/>
              <w:bottom w:val="single" w:sz="4" w:space="0" w:color="auto"/>
              <w:right w:val="single" w:sz="4" w:space="0" w:color="auto"/>
            </w:tcBorders>
            <w:noWrap/>
            <w:hideMark/>
          </w:tcPr>
          <w:p w14:paraId="17011F9E" w14:textId="77777777" w:rsidR="00991D37" w:rsidRDefault="00991D37" w:rsidP="00511D65">
            <w:pPr>
              <w:pStyle w:val="TAH"/>
              <w:rPr>
                <w:lang w:eastAsia="en-GB"/>
              </w:rPr>
            </w:pPr>
            <w:r>
              <w:rPr>
                <w:lang w:eastAsia="en-GB"/>
              </w:rPr>
              <w:t>In-band CLTA</w:t>
            </w:r>
          </w:p>
        </w:tc>
        <w:tc>
          <w:tcPr>
            <w:tcW w:w="2861" w:type="dxa"/>
            <w:tcBorders>
              <w:top w:val="single" w:sz="4" w:space="0" w:color="auto"/>
              <w:left w:val="single" w:sz="4" w:space="0" w:color="auto"/>
              <w:bottom w:val="single" w:sz="4" w:space="0" w:color="auto"/>
              <w:right w:val="single" w:sz="4" w:space="0" w:color="auto"/>
            </w:tcBorders>
            <w:noWrap/>
            <w:hideMark/>
          </w:tcPr>
          <w:p w14:paraId="2126A932" w14:textId="77777777" w:rsidR="00991D37" w:rsidRDefault="00991D37" w:rsidP="00511D65">
            <w:pPr>
              <w:pStyle w:val="TAH"/>
              <w:rPr>
                <w:lang w:eastAsia="en-GB"/>
              </w:rPr>
            </w:pPr>
            <w:r>
              <w:rPr>
                <w:lang w:eastAsia="en-GB"/>
              </w:rPr>
              <w:t>Out-of-band CLTAs</w:t>
            </w:r>
          </w:p>
        </w:tc>
      </w:tr>
      <w:tr w:rsidR="00991D37" w14:paraId="13E0542A" w14:textId="77777777" w:rsidTr="00511D65">
        <w:trPr>
          <w:trHeight w:val="300"/>
          <w:jc w:val="center"/>
        </w:trPr>
        <w:tc>
          <w:tcPr>
            <w:tcW w:w="3686" w:type="dxa"/>
            <w:tcBorders>
              <w:top w:val="single" w:sz="4" w:space="0" w:color="auto"/>
              <w:left w:val="single" w:sz="4" w:space="0" w:color="auto"/>
              <w:bottom w:val="single" w:sz="4" w:space="0" w:color="auto"/>
              <w:right w:val="single" w:sz="4" w:space="0" w:color="auto"/>
            </w:tcBorders>
            <w:noWrap/>
            <w:hideMark/>
          </w:tcPr>
          <w:p w14:paraId="1DCEF5FD" w14:textId="77777777" w:rsidR="00991D37" w:rsidRDefault="00991D37" w:rsidP="00511D65">
            <w:pPr>
              <w:pStyle w:val="TAL"/>
              <w:rPr>
                <w:lang w:eastAsia="en-GB"/>
              </w:rPr>
            </w:pPr>
            <w:r>
              <w:rPr>
                <w:lang w:eastAsia="en-GB"/>
              </w:rPr>
              <w:t>Vertical radiating dimension (h)</w:t>
            </w:r>
          </w:p>
        </w:tc>
        <w:tc>
          <w:tcPr>
            <w:tcW w:w="2383" w:type="dxa"/>
            <w:tcBorders>
              <w:top w:val="single" w:sz="4" w:space="0" w:color="auto"/>
              <w:left w:val="single" w:sz="4" w:space="0" w:color="auto"/>
              <w:bottom w:val="single" w:sz="4" w:space="0" w:color="auto"/>
              <w:right w:val="single" w:sz="4" w:space="0" w:color="auto"/>
            </w:tcBorders>
            <w:noWrap/>
            <w:hideMark/>
          </w:tcPr>
          <w:p w14:paraId="27BFAD60" w14:textId="77777777" w:rsidR="00991D37" w:rsidRDefault="00991D37" w:rsidP="00511D65">
            <w:pPr>
              <w:pStyle w:val="TAC"/>
              <w:rPr>
                <w:lang w:eastAsia="en-GB"/>
              </w:rPr>
            </w:pPr>
            <w:r>
              <w:rPr>
                <w:lang w:eastAsia="en-GB"/>
              </w:rPr>
              <w:t>Test object vertical radiating length ±</w:t>
            </w:r>
            <w:r>
              <w:rPr>
                <w:lang w:val="en-US" w:eastAsia="en-GB"/>
              </w:rPr>
              <w:t>30</w:t>
            </w:r>
            <w:r>
              <w:rPr>
                <w:lang w:eastAsia="en-GB"/>
              </w:rPr>
              <w:t>%</w:t>
            </w:r>
          </w:p>
        </w:tc>
        <w:tc>
          <w:tcPr>
            <w:tcW w:w="2861" w:type="dxa"/>
            <w:tcBorders>
              <w:top w:val="single" w:sz="4" w:space="0" w:color="auto"/>
              <w:left w:val="single" w:sz="4" w:space="0" w:color="auto"/>
              <w:bottom w:val="single" w:sz="4" w:space="0" w:color="auto"/>
              <w:right w:val="single" w:sz="4" w:space="0" w:color="auto"/>
            </w:tcBorders>
            <w:noWrap/>
            <w:hideMark/>
          </w:tcPr>
          <w:p w14:paraId="7F6AF3C5" w14:textId="77777777" w:rsidR="00991D37" w:rsidRPr="00991D37" w:rsidRDefault="00991D37" w:rsidP="00511D65">
            <w:pPr>
              <w:pStyle w:val="TAC"/>
              <w:rPr>
                <w:highlight w:val="yellow"/>
                <w:lang w:eastAsia="en-GB"/>
              </w:rPr>
            </w:pPr>
            <w:r w:rsidRPr="00991D37">
              <w:rPr>
                <w:highlight w:val="yellow"/>
                <w:lang w:eastAsia="en-GB"/>
              </w:rPr>
              <w:t>Test object vertical radiating length ±</w:t>
            </w:r>
            <w:r w:rsidRPr="00991D37">
              <w:rPr>
                <w:highlight w:val="yellow"/>
                <w:lang w:val="en-US" w:eastAsia="en-GB"/>
              </w:rPr>
              <w:t>30</w:t>
            </w:r>
            <w:r w:rsidRPr="00991D37">
              <w:rPr>
                <w:highlight w:val="yellow"/>
                <w:lang w:eastAsia="en-GB"/>
              </w:rPr>
              <w:t>%</w:t>
            </w:r>
          </w:p>
          <w:p w14:paraId="4516B9BD" w14:textId="77777777" w:rsidR="00991D37" w:rsidRDefault="00991D37" w:rsidP="00511D65">
            <w:pPr>
              <w:pStyle w:val="TAC"/>
              <w:rPr>
                <w:lang w:eastAsia="en-GB"/>
              </w:rPr>
            </w:pPr>
            <w:r w:rsidRPr="00991D37">
              <w:rPr>
                <w:highlight w:val="yellow"/>
                <w:lang w:eastAsia="en-GB"/>
              </w:rPr>
              <w:t>(Note 2)</w:t>
            </w:r>
          </w:p>
        </w:tc>
      </w:tr>
      <w:tr w:rsidR="00991D37" w14:paraId="75E8A883" w14:textId="77777777" w:rsidTr="00511D65">
        <w:trPr>
          <w:trHeight w:val="300"/>
          <w:jc w:val="center"/>
        </w:trPr>
        <w:tc>
          <w:tcPr>
            <w:tcW w:w="3686" w:type="dxa"/>
            <w:tcBorders>
              <w:top w:val="single" w:sz="4" w:space="0" w:color="auto"/>
              <w:left w:val="single" w:sz="4" w:space="0" w:color="auto"/>
              <w:bottom w:val="single" w:sz="4" w:space="0" w:color="auto"/>
              <w:right w:val="single" w:sz="4" w:space="0" w:color="auto"/>
            </w:tcBorders>
            <w:noWrap/>
            <w:hideMark/>
          </w:tcPr>
          <w:p w14:paraId="20099432" w14:textId="77777777" w:rsidR="00991D37" w:rsidRDefault="00991D37" w:rsidP="00511D65">
            <w:pPr>
              <w:pStyle w:val="TAL"/>
              <w:rPr>
                <w:lang w:eastAsia="en-GB"/>
              </w:rPr>
            </w:pPr>
            <w:r>
              <w:rPr>
                <w:lang w:eastAsia="en-GB"/>
              </w:rPr>
              <w:t>Horizontal beam width</w:t>
            </w:r>
          </w:p>
        </w:tc>
        <w:tc>
          <w:tcPr>
            <w:tcW w:w="2383" w:type="dxa"/>
            <w:tcBorders>
              <w:top w:val="single" w:sz="4" w:space="0" w:color="auto"/>
              <w:left w:val="single" w:sz="4" w:space="0" w:color="auto"/>
              <w:bottom w:val="single" w:sz="4" w:space="0" w:color="auto"/>
              <w:right w:val="single" w:sz="4" w:space="0" w:color="auto"/>
            </w:tcBorders>
            <w:noWrap/>
            <w:hideMark/>
          </w:tcPr>
          <w:p w14:paraId="2A86F9D6" w14:textId="77777777" w:rsidR="00991D37" w:rsidRDefault="00991D37" w:rsidP="00511D65">
            <w:pPr>
              <w:pStyle w:val="TAC"/>
              <w:rPr>
                <w:lang w:eastAsia="en-GB"/>
              </w:rPr>
            </w:pPr>
            <w:r>
              <w:rPr>
                <w:lang w:eastAsia="en-GB"/>
              </w:rPr>
              <w:t>65° ± 10°</w:t>
            </w:r>
          </w:p>
        </w:tc>
        <w:tc>
          <w:tcPr>
            <w:tcW w:w="2861" w:type="dxa"/>
            <w:tcBorders>
              <w:top w:val="single" w:sz="4" w:space="0" w:color="auto"/>
              <w:left w:val="single" w:sz="4" w:space="0" w:color="auto"/>
              <w:bottom w:val="single" w:sz="4" w:space="0" w:color="auto"/>
              <w:right w:val="single" w:sz="4" w:space="0" w:color="auto"/>
            </w:tcBorders>
            <w:noWrap/>
            <w:hideMark/>
          </w:tcPr>
          <w:p w14:paraId="172B5F03" w14:textId="77777777" w:rsidR="00991D37" w:rsidRDefault="00991D37" w:rsidP="00511D65">
            <w:pPr>
              <w:pStyle w:val="TAC"/>
              <w:rPr>
                <w:lang w:eastAsia="en-GB"/>
              </w:rPr>
            </w:pPr>
            <w:r>
              <w:rPr>
                <w:lang w:eastAsia="en-GB"/>
              </w:rPr>
              <w:t>65° ± 10°</w:t>
            </w:r>
          </w:p>
        </w:tc>
      </w:tr>
      <w:tr w:rsidR="00991D37" w14:paraId="6C870D50" w14:textId="77777777" w:rsidTr="00511D65">
        <w:trPr>
          <w:trHeight w:val="300"/>
          <w:jc w:val="center"/>
        </w:trPr>
        <w:tc>
          <w:tcPr>
            <w:tcW w:w="3686" w:type="dxa"/>
            <w:tcBorders>
              <w:top w:val="single" w:sz="4" w:space="0" w:color="auto"/>
              <w:left w:val="single" w:sz="4" w:space="0" w:color="auto"/>
              <w:bottom w:val="single" w:sz="4" w:space="0" w:color="auto"/>
              <w:right w:val="single" w:sz="4" w:space="0" w:color="auto"/>
            </w:tcBorders>
            <w:noWrap/>
            <w:hideMark/>
          </w:tcPr>
          <w:p w14:paraId="7995B328" w14:textId="77777777" w:rsidR="00991D37" w:rsidRDefault="00991D37" w:rsidP="00511D65">
            <w:pPr>
              <w:pStyle w:val="TAL"/>
              <w:rPr>
                <w:lang w:eastAsia="en-GB"/>
              </w:rPr>
            </w:pPr>
            <w:r>
              <w:rPr>
                <w:lang w:eastAsia="en-GB"/>
              </w:rPr>
              <w:t>Vertical beam width</w:t>
            </w:r>
          </w:p>
        </w:tc>
        <w:tc>
          <w:tcPr>
            <w:tcW w:w="2383" w:type="dxa"/>
            <w:tcBorders>
              <w:top w:val="single" w:sz="4" w:space="0" w:color="auto"/>
              <w:left w:val="single" w:sz="4" w:space="0" w:color="auto"/>
              <w:bottom w:val="single" w:sz="4" w:space="0" w:color="auto"/>
              <w:right w:val="single" w:sz="4" w:space="0" w:color="auto"/>
            </w:tcBorders>
            <w:noWrap/>
            <w:hideMark/>
          </w:tcPr>
          <w:p w14:paraId="7F06F240" w14:textId="77777777" w:rsidR="00991D37" w:rsidRDefault="00991D37" w:rsidP="00511D65">
            <w:pPr>
              <w:pStyle w:val="TAC"/>
              <w:rPr>
                <w:lang w:eastAsia="en-GB"/>
              </w:rPr>
            </w:pPr>
            <w:r>
              <w:rPr>
                <w:lang w:eastAsia="en-GB"/>
              </w:rPr>
              <w:t>N/A</w:t>
            </w:r>
          </w:p>
        </w:tc>
        <w:tc>
          <w:tcPr>
            <w:tcW w:w="2861" w:type="dxa"/>
            <w:tcBorders>
              <w:top w:val="single" w:sz="4" w:space="0" w:color="auto"/>
              <w:left w:val="single" w:sz="4" w:space="0" w:color="auto"/>
              <w:bottom w:val="single" w:sz="4" w:space="0" w:color="auto"/>
              <w:right w:val="single" w:sz="4" w:space="0" w:color="auto"/>
            </w:tcBorders>
            <w:noWrap/>
            <w:hideMark/>
          </w:tcPr>
          <w:p w14:paraId="488870AB" w14:textId="77777777" w:rsidR="00991D37" w:rsidRDefault="00991D37" w:rsidP="00511D65">
            <w:pPr>
              <w:pStyle w:val="TAC"/>
              <w:rPr>
                <w:lang w:eastAsia="en-GB"/>
              </w:rPr>
            </w:pPr>
            <w:r>
              <w:rPr>
                <w:lang w:eastAsia="en-GB"/>
              </w:rPr>
              <w:t>The half-power vertical beam width of the CLTA equals the narrowest declared (D.3) vertical beamwidth ±3°</w:t>
            </w:r>
          </w:p>
          <w:p w14:paraId="35572DDB" w14:textId="77777777" w:rsidR="00991D37" w:rsidRDefault="00991D37" w:rsidP="00511D65">
            <w:pPr>
              <w:pStyle w:val="TAC"/>
              <w:rPr>
                <w:lang w:eastAsia="en-GB"/>
              </w:rPr>
            </w:pPr>
            <w:r w:rsidRPr="00991D37">
              <w:rPr>
                <w:highlight w:val="yellow"/>
                <w:lang w:eastAsia="en-GB"/>
              </w:rPr>
              <w:t>(Note 2)</w:t>
            </w:r>
          </w:p>
        </w:tc>
      </w:tr>
      <w:tr w:rsidR="00991D37" w14:paraId="601E76C5" w14:textId="77777777" w:rsidTr="00511D65">
        <w:trPr>
          <w:trHeight w:val="300"/>
          <w:jc w:val="center"/>
        </w:trPr>
        <w:tc>
          <w:tcPr>
            <w:tcW w:w="3686" w:type="dxa"/>
            <w:tcBorders>
              <w:top w:val="single" w:sz="4" w:space="0" w:color="auto"/>
              <w:left w:val="single" w:sz="4" w:space="0" w:color="auto"/>
              <w:bottom w:val="single" w:sz="4" w:space="0" w:color="auto"/>
              <w:right w:val="single" w:sz="4" w:space="0" w:color="auto"/>
            </w:tcBorders>
            <w:noWrap/>
            <w:hideMark/>
          </w:tcPr>
          <w:p w14:paraId="14169F57" w14:textId="77777777" w:rsidR="00991D37" w:rsidRDefault="00991D37" w:rsidP="00511D65">
            <w:pPr>
              <w:pStyle w:val="TAL"/>
              <w:rPr>
                <w:lang w:eastAsia="en-GB"/>
              </w:rPr>
            </w:pPr>
            <w:r>
              <w:rPr>
                <w:lang w:eastAsia="en-GB"/>
              </w:rPr>
              <w:t>Polarization</w:t>
            </w:r>
          </w:p>
        </w:tc>
        <w:tc>
          <w:tcPr>
            <w:tcW w:w="2383" w:type="dxa"/>
            <w:tcBorders>
              <w:top w:val="single" w:sz="4" w:space="0" w:color="auto"/>
              <w:left w:val="single" w:sz="4" w:space="0" w:color="auto"/>
              <w:bottom w:val="single" w:sz="4" w:space="0" w:color="auto"/>
              <w:right w:val="single" w:sz="4" w:space="0" w:color="auto"/>
            </w:tcBorders>
            <w:noWrap/>
            <w:hideMark/>
          </w:tcPr>
          <w:p w14:paraId="42EB8806" w14:textId="77777777" w:rsidR="00991D37" w:rsidRDefault="00991D37" w:rsidP="00511D65">
            <w:pPr>
              <w:pStyle w:val="TAC"/>
              <w:rPr>
                <w:lang w:eastAsia="en-GB"/>
              </w:rPr>
            </w:pPr>
            <w:r>
              <w:rPr>
                <w:lang w:eastAsia="en-GB"/>
              </w:rPr>
              <w:t>Match</w:t>
            </w:r>
          </w:p>
        </w:tc>
        <w:tc>
          <w:tcPr>
            <w:tcW w:w="2861" w:type="dxa"/>
            <w:tcBorders>
              <w:top w:val="single" w:sz="4" w:space="0" w:color="auto"/>
              <w:left w:val="single" w:sz="4" w:space="0" w:color="auto"/>
              <w:bottom w:val="single" w:sz="4" w:space="0" w:color="auto"/>
              <w:right w:val="single" w:sz="4" w:space="0" w:color="auto"/>
            </w:tcBorders>
            <w:noWrap/>
            <w:hideMark/>
          </w:tcPr>
          <w:p w14:paraId="60CE2997" w14:textId="77777777" w:rsidR="00991D37" w:rsidRDefault="00991D37" w:rsidP="00511D65">
            <w:pPr>
              <w:pStyle w:val="TAC"/>
              <w:rPr>
                <w:lang w:eastAsia="en-GB"/>
              </w:rPr>
            </w:pPr>
            <w:r>
              <w:rPr>
                <w:lang w:eastAsia="en-GB"/>
              </w:rPr>
              <w:t>Match to in-band</w:t>
            </w:r>
          </w:p>
        </w:tc>
      </w:tr>
      <w:tr w:rsidR="00991D37" w14:paraId="4A642AAB" w14:textId="77777777" w:rsidTr="00511D65">
        <w:trPr>
          <w:trHeight w:val="300"/>
          <w:jc w:val="center"/>
        </w:trPr>
        <w:tc>
          <w:tcPr>
            <w:tcW w:w="3686" w:type="dxa"/>
            <w:tcBorders>
              <w:top w:val="single" w:sz="4" w:space="0" w:color="auto"/>
              <w:left w:val="single" w:sz="4" w:space="0" w:color="auto"/>
              <w:bottom w:val="single" w:sz="4" w:space="0" w:color="auto"/>
              <w:right w:val="single" w:sz="4" w:space="0" w:color="auto"/>
            </w:tcBorders>
            <w:noWrap/>
            <w:hideMark/>
          </w:tcPr>
          <w:p w14:paraId="0BBF5982" w14:textId="77777777" w:rsidR="00991D37" w:rsidRDefault="00991D37" w:rsidP="00511D65">
            <w:pPr>
              <w:pStyle w:val="TAL"/>
              <w:rPr>
                <w:lang w:eastAsia="en-GB"/>
              </w:rPr>
            </w:pPr>
            <w:r>
              <w:rPr>
                <w:lang w:eastAsia="en-GB"/>
              </w:rPr>
              <w:t>Conducted interface return loss</w:t>
            </w:r>
          </w:p>
        </w:tc>
        <w:tc>
          <w:tcPr>
            <w:tcW w:w="2383" w:type="dxa"/>
            <w:tcBorders>
              <w:top w:val="single" w:sz="4" w:space="0" w:color="auto"/>
              <w:left w:val="single" w:sz="4" w:space="0" w:color="auto"/>
              <w:bottom w:val="single" w:sz="4" w:space="0" w:color="auto"/>
              <w:right w:val="single" w:sz="4" w:space="0" w:color="auto"/>
            </w:tcBorders>
            <w:noWrap/>
            <w:hideMark/>
          </w:tcPr>
          <w:p w14:paraId="46D97FF5" w14:textId="77777777" w:rsidR="00991D37" w:rsidRDefault="00991D37" w:rsidP="00511D65">
            <w:pPr>
              <w:pStyle w:val="TAC"/>
              <w:rPr>
                <w:lang w:eastAsia="en-GB"/>
              </w:rPr>
            </w:pPr>
            <w:r>
              <w:rPr>
                <w:lang w:eastAsia="en-GB"/>
              </w:rPr>
              <w:t>&gt; 10</w:t>
            </w:r>
            <w:r>
              <w:rPr>
                <w:lang w:val="en-US" w:eastAsia="en-GB"/>
              </w:rPr>
              <w:t xml:space="preserve"> </w:t>
            </w:r>
            <w:r>
              <w:rPr>
                <w:lang w:eastAsia="en-GB"/>
              </w:rPr>
              <w:t>dB</w:t>
            </w:r>
          </w:p>
        </w:tc>
        <w:tc>
          <w:tcPr>
            <w:tcW w:w="2861" w:type="dxa"/>
            <w:tcBorders>
              <w:top w:val="single" w:sz="4" w:space="0" w:color="auto"/>
              <w:left w:val="single" w:sz="4" w:space="0" w:color="auto"/>
              <w:bottom w:val="single" w:sz="4" w:space="0" w:color="auto"/>
              <w:right w:val="single" w:sz="4" w:space="0" w:color="auto"/>
            </w:tcBorders>
            <w:noWrap/>
            <w:hideMark/>
          </w:tcPr>
          <w:p w14:paraId="210EA888" w14:textId="77777777" w:rsidR="00991D37" w:rsidRDefault="00991D37" w:rsidP="00511D65">
            <w:pPr>
              <w:pStyle w:val="TAC"/>
              <w:rPr>
                <w:lang w:eastAsia="en-GB"/>
              </w:rPr>
            </w:pPr>
            <w:r>
              <w:rPr>
                <w:lang w:eastAsia="en-GB"/>
              </w:rPr>
              <w:t>&gt; 10</w:t>
            </w:r>
            <w:r>
              <w:rPr>
                <w:lang w:val="en-US" w:eastAsia="en-GB"/>
              </w:rPr>
              <w:t xml:space="preserve"> </w:t>
            </w:r>
            <w:r>
              <w:rPr>
                <w:lang w:eastAsia="en-GB"/>
              </w:rPr>
              <w:t>dB</w:t>
            </w:r>
          </w:p>
        </w:tc>
      </w:tr>
      <w:tr w:rsidR="00991D37" w14:paraId="45D20166" w14:textId="77777777" w:rsidTr="00511D65">
        <w:trPr>
          <w:trHeight w:val="300"/>
          <w:jc w:val="center"/>
        </w:trPr>
        <w:tc>
          <w:tcPr>
            <w:tcW w:w="8930" w:type="dxa"/>
            <w:gridSpan w:val="3"/>
            <w:tcBorders>
              <w:top w:val="single" w:sz="4" w:space="0" w:color="auto"/>
              <w:left w:val="single" w:sz="4" w:space="0" w:color="auto"/>
              <w:bottom w:val="single" w:sz="4" w:space="0" w:color="auto"/>
              <w:right w:val="single" w:sz="4" w:space="0" w:color="auto"/>
            </w:tcBorders>
            <w:noWrap/>
            <w:hideMark/>
          </w:tcPr>
          <w:p w14:paraId="7FC5C3F9" w14:textId="77777777" w:rsidR="00991D37" w:rsidRDefault="00991D37" w:rsidP="00511D65">
            <w:pPr>
              <w:pStyle w:val="TAN"/>
            </w:pPr>
            <w:r>
              <w:t xml:space="preserve">NOTE </w:t>
            </w:r>
            <w:r w:rsidRPr="00991D37">
              <w:rPr>
                <w:highlight w:val="yellow"/>
              </w:rPr>
              <w:t>1</w:t>
            </w:r>
            <w:r>
              <w:t xml:space="preserve">: If a multi-column or multi-band antenna is used the column closest to the </w:t>
            </w:r>
            <w:r>
              <w:rPr>
                <w:lang w:val="en-US"/>
              </w:rPr>
              <w:t>NR</w:t>
            </w:r>
            <w:r>
              <w:t xml:space="preserve"> BS shall be selected while other columns are terminated during testing.</w:t>
            </w:r>
          </w:p>
          <w:p w14:paraId="60FC3033" w14:textId="631D0C43" w:rsidR="00991D37" w:rsidRDefault="00991D37" w:rsidP="00511D65">
            <w:pPr>
              <w:pStyle w:val="TAN"/>
              <w:rPr>
                <w:rFonts w:ascii="Calibri" w:hAnsi="Calibri"/>
                <w:sz w:val="22"/>
                <w:szCs w:val="22"/>
                <w:lang w:eastAsia="en-GB"/>
              </w:rPr>
            </w:pPr>
            <w:r w:rsidRPr="00991D37">
              <w:rPr>
                <w:highlight w:val="yellow"/>
              </w:rPr>
              <w:t>NOTE 2: Either vertical radiating dimension or beam width definition may be used depending on the availability of CLTA</w:t>
            </w:r>
          </w:p>
        </w:tc>
      </w:tr>
    </w:tbl>
    <w:p w14:paraId="72767AE6" w14:textId="77777777" w:rsidR="00991D37" w:rsidRDefault="00991D37" w:rsidP="00991D37"/>
    <w:p w14:paraId="248C7CF9" w14:textId="5AB1E6F0" w:rsidR="00991D37" w:rsidRPr="005E3F90" w:rsidRDefault="00991D37" w:rsidP="00991D37">
      <w:pPr>
        <w:rPr>
          <w:b/>
          <w:u w:val="single"/>
        </w:rPr>
      </w:pPr>
      <w:r w:rsidRPr="005E3F90">
        <w:rPr>
          <w:b/>
          <w:u w:val="single"/>
        </w:rPr>
        <w:t>Option 2</w:t>
      </w:r>
    </w:p>
    <w:p w14:paraId="337846DE" w14:textId="1132E276" w:rsidR="00991D37" w:rsidRPr="00991D37" w:rsidRDefault="00991D37" w:rsidP="00991D37">
      <w:r w:rsidRPr="00991D37">
        <w:t>The half-power vertical beam width of the out of band CLTA equals</w:t>
      </w:r>
      <w:r>
        <w:t xml:space="preserve"> : </w:t>
      </w:r>
      <w:r w:rsidRPr="00991D37">
        <w:rPr>
          <w:lang w:val="en-US"/>
        </w:rPr>
        <w:object w:dxaOrig="2662" w:dyaOrig="670" w14:anchorId="300F1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9pt;height:25.05pt" o:ole="">
            <v:imagedata r:id="rId9" o:title=""/>
          </v:shape>
          <o:OLEObject Type="Embed" ProgID="Unknown" ShapeID="_x0000_i1025" DrawAspect="Content" ObjectID="_1664976104" r:id="rId10"/>
        </w:object>
      </w:r>
    </w:p>
    <w:p w14:paraId="71451DAE" w14:textId="77777777" w:rsidR="00991D37" w:rsidRDefault="00991D37" w:rsidP="00991D37">
      <w:r w:rsidRPr="00991D37">
        <w:t>Where,</w:t>
      </w:r>
    </w:p>
    <w:p w14:paraId="284378C8" w14:textId="268E7860" w:rsidR="00991D37" w:rsidRDefault="00991D37" w:rsidP="00991D37">
      <w:pPr>
        <w:ind w:leftChars="300" w:left="600"/>
      </w:pPr>
      <w:r>
        <w:t xml:space="preserve"> </w:t>
      </w:r>
      <w:r w:rsidRPr="00991D37">
        <w:rPr>
          <w:lang w:val="en-US"/>
        </w:rPr>
        <w:object w:dxaOrig="7810" w:dyaOrig="2093" w14:anchorId="7E4C0DBD">
          <v:shape id="_x0000_i1026" type="#_x0000_t75" style="width:284.85pt;height:76.4pt" o:ole="">
            <v:imagedata r:id="rId11" o:title=""/>
          </v:shape>
          <o:OLEObject Type="Embed" ProgID="Unknown" ShapeID="_x0000_i1026" DrawAspect="Content" ObjectID="_1664976105" r:id="rId12"/>
        </w:object>
      </w:r>
    </w:p>
    <w:p w14:paraId="69A9E50B" w14:textId="77777777" w:rsidR="00991D37" w:rsidRPr="00991D37" w:rsidRDefault="00991D37" w:rsidP="00991D37">
      <w:r w:rsidRPr="00991D37">
        <w:t>h is the test object vertical radiating length in meter. The value 2.5m may be further discussed.</w:t>
      </w:r>
    </w:p>
    <w:p w14:paraId="35C4D0AE" w14:textId="77777777" w:rsidR="00991D37" w:rsidRPr="00991D37" w:rsidRDefault="00991D37" w:rsidP="00991D37">
      <w:r w:rsidRPr="00991D37">
        <w:rPr>
          <w:lang w:val="el-GR"/>
        </w:rPr>
        <w:t>θ</w:t>
      </w:r>
      <w:r w:rsidRPr="00991D37">
        <w:t xml:space="preserve"> is the narrowest declared (D.3) vertical beam width of test object antenna. </w:t>
      </w:r>
    </w:p>
    <w:p w14:paraId="5A867C73" w14:textId="77777777" w:rsidR="00991D37" w:rsidRPr="00991D37" w:rsidRDefault="00991D37" w:rsidP="00991D37">
      <w:r w:rsidRPr="00991D37">
        <w:rPr>
          <w:i/>
          <w:iCs/>
        </w:rPr>
        <w:t>f</w:t>
      </w:r>
      <w:r w:rsidRPr="00991D37">
        <w:rPr>
          <w:i/>
          <w:iCs/>
          <w:vertAlign w:val="subscript"/>
        </w:rPr>
        <w:t>operatingband</w:t>
      </w:r>
      <w:r w:rsidRPr="00991D37">
        <w:t xml:space="preserve"> is the centre frequency of operating band of test object antenna.</w:t>
      </w:r>
    </w:p>
    <w:p w14:paraId="74612E6D" w14:textId="77777777" w:rsidR="00991D37" w:rsidRPr="00991D37" w:rsidRDefault="00991D37" w:rsidP="00991D37">
      <w:r w:rsidRPr="00991D37">
        <w:t xml:space="preserve"> </w:t>
      </w:r>
      <w:r w:rsidRPr="00991D37">
        <w:rPr>
          <w:i/>
          <w:iCs/>
        </w:rPr>
        <w:t>f</w:t>
      </w:r>
      <w:r w:rsidRPr="00991D37">
        <w:rPr>
          <w:i/>
          <w:iCs/>
          <w:vertAlign w:val="subscript"/>
        </w:rPr>
        <w:t>coLocatedband</w:t>
      </w:r>
      <w:r w:rsidRPr="00991D37">
        <w:t xml:space="preserve"> is the centre frequency of co-located band.</w:t>
      </w:r>
    </w:p>
    <w:p w14:paraId="6B70332B" w14:textId="77777777" w:rsidR="005E3F90" w:rsidRDefault="005E3F90" w:rsidP="005E3F90">
      <w:pPr>
        <w:pStyle w:val="Heading1"/>
        <w:numPr>
          <w:ilvl w:val="0"/>
          <w:numId w:val="1"/>
        </w:numPr>
        <w:rPr>
          <w:rFonts w:eastAsia="SimSun"/>
        </w:rPr>
      </w:pPr>
      <w:r>
        <w:rPr>
          <w:rFonts w:eastAsia="SimSun"/>
        </w:rPr>
        <w:lastRenderedPageBreak/>
        <w:t>Discussion</w:t>
      </w:r>
    </w:p>
    <w:p w14:paraId="5CA82D72" w14:textId="3E99A282" w:rsidR="00991D37" w:rsidRDefault="005E3F90" w:rsidP="00991D37">
      <w:r>
        <w:rPr>
          <w:rFonts w:hint="eastAsia"/>
        </w:rPr>
        <w:t>B</w:t>
      </w:r>
      <w:r>
        <w:t xml:space="preserve">oth options achieve the stated goal of limiting the CLTA height so that it does not become unfeasibly large for certain low frequency implementations. </w:t>
      </w:r>
    </w:p>
    <w:p w14:paraId="26FC246D" w14:textId="6A9DA5CE" w:rsidR="005E3F90" w:rsidRDefault="00066A70" w:rsidP="00991D37">
      <w:r>
        <w:rPr>
          <w:rFonts w:hint="eastAsia"/>
        </w:rPr>
        <w:t>W</w:t>
      </w:r>
      <w:r>
        <w:t xml:space="preserve">hen looking at the effect of the length of the CLTA for example when the wanted antenna is a </w:t>
      </w:r>
      <w:r w:rsidRPr="00066A70">
        <w:t>2GHz 0.9λ*8</w:t>
      </w:r>
      <w:r>
        <w:t xml:space="preserve"> antenan we see:</w:t>
      </w:r>
    </w:p>
    <w:p w14:paraId="4655C82F" w14:textId="465A2C91" w:rsidR="00991D37" w:rsidRDefault="00066A70" w:rsidP="00066A70">
      <w:pPr>
        <w:jc w:val="center"/>
      </w:pPr>
      <w:r>
        <w:rPr>
          <w:noProof/>
          <w:lang w:val="en-US" w:eastAsia="zh-CN"/>
        </w:rPr>
        <w:drawing>
          <wp:inline distT="0" distB="0" distL="0" distR="0" wp14:anchorId="0C6C946A" wp14:editId="00D96E43">
            <wp:extent cx="4556312" cy="2689412"/>
            <wp:effectExtent l="0" t="0" r="15875" b="1587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3ED8C03" w14:textId="05369D98" w:rsidR="00991D37" w:rsidRDefault="00066A70" w:rsidP="00991D37">
      <w:r>
        <w:rPr>
          <w:rFonts w:hint="eastAsia"/>
        </w:rPr>
        <w:t>A</w:t>
      </w:r>
      <w:r>
        <w:t>s option 1 has 2 metrics 2 lines are shown, one is the same as the existing definition, the other is a flat line the same length as the DUT. Option 2 can be seen to off the same length as the existing CLTA definition but it is capped at 2.5m.</w:t>
      </w:r>
    </w:p>
    <w:p w14:paraId="2AB732FF" w14:textId="4E1F1EDE" w:rsidR="00066A70" w:rsidRDefault="00066A70" w:rsidP="00991D37">
      <w:r>
        <w:t>In [3] last meeting the following observation was made based on coupling simulation between antennas of different heights and frequencies</w:t>
      </w:r>
    </w:p>
    <w:p w14:paraId="4F6CD24A" w14:textId="77777777" w:rsidR="00066A70" w:rsidRDefault="00066A70" w:rsidP="00066A70">
      <w:pPr>
        <w:ind w:leftChars="100" w:left="200"/>
      </w:pPr>
      <w:r w:rsidRPr="00C20F3A">
        <w:rPr>
          <w:b/>
          <w:bCs/>
        </w:rPr>
        <w:t>Observation 1</w:t>
      </w:r>
      <w:r>
        <w:rPr>
          <w:b/>
          <w:bCs/>
        </w:rPr>
        <w:t xml:space="preserve">: </w:t>
      </w:r>
      <w:r w:rsidRPr="00C20F3A">
        <w:t>The worst</w:t>
      </w:r>
      <w:r>
        <w:t>-</w:t>
      </w:r>
      <w:r w:rsidRPr="00C20F3A">
        <w:t xml:space="preserve">case </w:t>
      </w:r>
      <w:r>
        <w:t>coupling (lowest isolation) occurs when the CLTA has roughly the same length as the AAS, independently of the frequency offset.</w:t>
      </w:r>
    </w:p>
    <w:p w14:paraId="0663C4CC" w14:textId="6E6AAB63" w:rsidR="00066A70" w:rsidRDefault="00066A70" w:rsidP="00991D37">
      <w:r>
        <w:rPr>
          <w:rFonts w:hint="eastAsia"/>
        </w:rPr>
        <w:t>A</w:t>
      </w:r>
      <w:r>
        <w:t>s such if the modified CLTA definition offers an antenna height with is closer to the length of the DUT then the coupling will be increased and the test will effectively be tougher. As such the CLTA can be modified without compromising the performance of the system compared to the existing definition.</w:t>
      </w:r>
    </w:p>
    <w:p w14:paraId="1C5A2F40" w14:textId="7B77C2AF" w:rsidR="00066A70" w:rsidRDefault="00066A70" w:rsidP="00991D37">
      <w:r>
        <w:t>Looking at the ratio of the length of the new CLTA definition compared to the current definition we see:</w:t>
      </w:r>
    </w:p>
    <w:p w14:paraId="720861BA" w14:textId="6568B821" w:rsidR="00066A70" w:rsidRDefault="00066A70" w:rsidP="00066A70">
      <w:pPr>
        <w:ind w:leftChars="100" w:left="200"/>
        <w:jc w:val="center"/>
      </w:pPr>
      <w:r>
        <w:rPr>
          <w:noProof/>
          <w:lang w:val="en-US" w:eastAsia="zh-CN"/>
        </w:rPr>
        <w:drawing>
          <wp:inline distT="0" distB="0" distL="0" distR="0" wp14:anchorId="7D6CC0AC" wp14:editId="3C25F24F">
            <wp:extent cx="4556312" cy="2689412"/>
            <wp:effectExtent l="0" t="0" r="15875" b="1587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C74A850" w14:textId="65A0AADA" w:rsidR="00066A70" w:rsidRDefault="00586532" w:rsidP="00066A70">
      <w:pPr>
        <w:ind w:leftChars="100" w:left="200"/>
      </w:pPr>
      <w:r>
        <w:rPr>
          <w:rFonts w:hint="eastAsia"/>
        </w:rPr>
        <w:lastRenderedPageBreak/>
        <w:t>B</w:t>
      </w:r>
      <w:r>
        <w:t>oth methods have results which are greater than 1 and as such are acceptable in terms of not relaxing the test requirement further than the core requirement. As such we believe that we should select the method base on flexibility of selecting the CLTA as well as maintaining the requirement as close to the existing requirement as possible.</w:t>
      </w:r>
    </w:p>
    <w:p w14:paraId="15B43472" w14:textId="18326772" w:rsidR="006D477F" w:rsidRDefault="006D477F" w:rsidP="00066A70">
      <w:pPr>
        <w:ind w:leftChars="100" w:left="200"/>
      </w:pPr>
      <w:r w:rsidRPr="006D477F">
        <w:rPr>
          <w:b/>
        </w:rPr>
        <w:t xml:space="preserve">Observation 1: </w:t>
      </w:r>
      <w:r>
        <w:t>As both CLAT definitions offer a conformance test which is either equivalent to or tougher than the existing one, both are compliant with the core definition of the co-location reference antenna and hence no modification to the core requirements are needed.</w:t>
      </w:r>
    </w:p>
    <w:p w14:paraId="2CC6E735" w14:textId="52F62101" w:rsidR="00586532" w:rsidRPr="00586532" w:rsidRDefault="00586532" w:rsidP="00066A70">
      <w:pPr>
        <w:ind w:leftChars="100" w:left="200"/>
        <w:rPr>
          <w:b/>
          <w:u w:val="single"/>
        </w:rPr>
      </w:pPr>
      <w:r w:rsidRPr="00586532">
        <w:rPr>
          <w:b/>
          <w:u w:val="single"/>
        </w:rPr>
        <w:t>Flexibility</w:t>
      </w:r>
    </w:p>
    <w:p w14:paraId="7E19321D" w14:textId="6A44DB80" w:rsidR="00586532" w:rsidRDefault="006D477F" w:rsidP="00066A70">
      <w:pPr>
        <w:ind w:leftChars="100" w:left="200"/>
      </w:pPr>
      <w:r>
        <w:t>Option 2</w:t>
      </w:r>
      <w:r w:rsidR="00586532">
        <w:t xml:space="preserve"> has a fixed maximum height, it is arguable if 2.5m is a reasonable maximum height, whilst most walk in chambers can accommodate this height it make be a tight fit and place restrictions on the access door etc</w:t>
      </w:r>
      <w:r>
        <w:t>. B</w:t>
      </w:r>
      <w:r w:rsidR="00586532">
        <w:t>efore agreeing a fixed value it would be useful to understand the dimensions of many of the chambers evadible</w:t>
      </w:r>
      <w:r>
        <w:t xml:space="preserve"> a</w:t>
      </w:r>
      <w:r w:rsidR="00586532">
        <w:t>s a lower height would also still not generate a relaxation it might be useful to set the max height lower</w:t>
      </w:r>
      <w:r>
        <w:t xml:space="preserve"> than 2.5m</w:t>
      </w:r>
      <w:r w:rsidR="00586532">
        <w:t>. The discussion of deciding a</w:t>
      </w:r>
      <w:r>
        <w:t>n</w:t>
      </w:r>
      <w:r w:rsidR="00586532">
        <w:t xml:space="preserve"> arbitrary fixed height is avoided by using option </w:t>
      </w:r>
      <w:r>
        <w:t>1</w:t>
      </w:r>
      <w:r w:rsidR="00586532">
        <w:t xml:space="preserve">, as it offers </w:t>
      </w:r>
      <w:r w:rsidR="007E398F">
        <w:t>flexibility for the test to select either from the original definition or the DUT height. Clearly as any chamber being used to test the DUT will fit the DUT then it should always be possible to fit a CLTA under this definition.</w:t>
      </w:r>
    </w:p>
    <w:p w14:paraId="2110BC6E" w14:textId="1BB5B499" w:rsidR="006D477F" w:rsidRDefault="00A9170E" w:rsidP="00066A70">
      <w:pPr>
        <w:ind w:leftChars="100" w:left="200"/>
      </w:pPr>
      <w:r>
        <w:rPr>
          <w:b/>
        </w:rPr>
        <w:t>Observation 2</w:t>
      </w:r>
      <w:r w:rsidR="006D477F" w:rsidRPr="006D477F">
        <w:rPr>
          <w:b/>
        </w:rPr>
        <w:t xml:space="preserve">: </w:t>
      </w:r>
      <w:r w:rsidR="006D477F">
        <w:t>Option 1 seems to offer more flexibility and avoids having to agree a fixed max length</w:t>
      </w:r>
    </w:p>
    <w:p w14:paraId="77A7AE5A" w14:textId="2B785EAE" w:rsidR="00586532" w:rsidRPr="006D477F" w:rsidRDefault="006D477F" w:rsidP="00066A70">
      <w:pPr>
        <w:ind w:leftChars="100" w:left="200"/>
        <w:rPr>
          <w:b/>
          <w:u w:val="single"/>
        </w:rPr>
      </w:pPr>
      <w:r w:rsidRPr="006D477F">
        <w:rPr>
          <w:b/>
          <w:u w:val="single"/>
        </w:rPr>
        <w:t>Comparing to existing requirement</w:t>
      </w:r>
    </w:p>
    <w:p w14:paraId="13C310A7" w14:textId="6B64CA09" w:rsidR="006D477F" w:rsidRDefault="006D477F" w:rsidP="00066A70">
      <w:pPr>
        <w:ind w:leftChars="100" w:left="200"/>
      </w:pPr>
      <w:r>
        <w:t xml:space="preserve">Both options offer either the same level of coupling or a greater level of coupling as the existing CLTA definition depending on the frequency of the CLTA. </w:t>
      </w:r>
    </w:p>
    <w:p w14:paraId="14A7B2A2" w14:textId="500D5F18" w:rsidR="006D477F" w:rsidRDefault="006D477F" w:rsidP="00066A70">
      <w:pPr>
        <w:ind w:leftChars="100" w:left="200"/>
      </w:pPr>
      <w:r>
        <w:t xml:space="preserve">However at low frequencies option 2 fixes the CLTA at a shorter length and hence mandates a higher level of coupling than the existing specification. Option 1 however offers the choice between the existing specification and the shorter antenna as such does not mandate a tougher requirement than the existing specification.  </w:t>
      </w:r>
    </w:p>
    <w:p w14:paraId="4A02EB7C" w14:textId="19490840" w:rsidR="006D477F" w:rsidRDefault="006D477F" w:rsidP="00066A70">
      <w:pPr>
        <w:ind w:leftChars="100" w:left="200"/>
      </w:pPr>
      <w:r>
        <w:t>In addition as option 1 uses either the existing out of band definition or the existing in-band definition to define the CLTA length no new concepts or equations are being added to the definition.</w:t>
      </w:r>
    </w:p>
    <w:p w14:paraId="2C05F8C8" w14:textId="73978C14" w:rsidR="006D477F" w:rsidRDefault="00A9170E" w:rsidP="00066A70">
      <w:pPr>
        <w:ind w:leftChars="100" w:left="200"/>
      </w:pPr>
      <w:r>
        <w:rPr>
          <w:b/>
        </w:rPr>
        <w:t>Observation 3</w:t>
      </w:r>
      <w:r w:rsidR="006D477F" w:rsidRPr="006D477F">
        <w:rPr>
          <w:b/>
        </w:rPr>
        <w:t>:</w:t>
      </w:r>
      <w:r w:rsidR="006D477F">
        <w:t xml:space="preserve"> Option 1 does not mandate a tougher requirements where option 2 may in some circumstances.</w:t>
      </w:r>
    </w:p>
    <w:p w14:paraId="14C7E92A" w14:textId="52D961FC" w:rsidR="006D477F" w:rsidRDefault="006D477F" w:rsidP="006D477F">
      <w:pPr>
        <w:pStyle w:val="Heading1"/>
      </w:pPr>
      <w:r>
        <w:t>3.</w:t>
      </w:r>
      <w:r>
        <w:tab/>
      </w:r>
      <w:r>
        <w:rPr>
          <w:rFonts w:hint="eastAsia"/>
        </w:rPr>
        <w:t>S</w:t>
      </w:r>
      <w:r>
        <w:t>ummary</w:t>
      </w:r>
    </w:p>
    <w:p w14:paraId="44B3EB53" w14:textId="3136936E" w:rsidR="006D477F" w:rsidRDefault="006D477F" w:rsidP="00066A70">
      <w:pPr>
        <w:ind w:leftChars="100" w:left="200"/>
      </w:pPr>
      <w:r>
        <w:t>A stated both option achieve the objective but we feel that option 1 is a slightly better option as it avoids deciding how the max fixed length should be and also avoids a mandatory increase in the coupling and hence toughening of the requirement over the existing definition.</w:t>
      </w:r>
      <w:r w:rsidR="00A9170E">
        <w:t xml:space="preserve"> We hence propose option 1 is used.</w:t>
      </w:r>
    </w:p>
    <w:p w14:paraId="3E7F358F" w14:textId="6B575D2A" w:rsidR="00A9170E" w:rsidRDefault="00A9170E" w:rsidP="00066A70">
      <w:pPr>
        <w:ind w:leftChars="100" w:left="200"/>
      </w:pPr>
      <w:r w:rsidRPr="003C633B">
        <w:rPr>
          <w:b/>
        </w:rPr>
        <w:t>Proposal 1:</w:t>
      </w:r>
      <w:r>
        <w:t xml:space="preserve"> Update CLTA definition according to option 1.</w:t>
      </w:r>
    </w:p>
    <w:p w14:paraId="1974B869" w14:textId="119E0D45" w:rsidR="003C32D4" w:rsidRDefault="003C32D4" w:rsidP="00991D37">
      <w:pPr>
        <w:pStyle w:val="Heading1"/>
      </w:pPr>
      <w:r>
        <w:rPr>
          <w:rFonts w:hint="eastAsia"/>
        </w:rPr>
        <w:t>R</w:t>
      </w:r>
      <w:r>
        <w:t>eferences</w:t>
      </w:r>
    </w:p>
    <w:p w14:paraId="6254BDD9" w14:textId="6255F77E" w:rsidR="008F2CEB" w:rsidRDefault="008F2CEB" w:rsidP="008F2CEB">
      <w:r>
        <w:rPr>
          <w:rFonts w:hint="eastAsia"/>
        </w:rPr>
        <w:t>[1]</w:t>
      </w:r>
      <w:r>
        <w:tab/>
      </w:r>
      <w:r w:rsidR="00D70D53">
        <w:t>R4-2008740</w:t>
      </w:r>
      <w:r>
        <w:tab/>
      </w:r>
      <w:r w:rsidR="00D70D53" w:rsidRPr="00D70D53">
        <w:t>WF on out of band CLTA maximum height</w:t>
      </w:r>
      <w:r>
        <w:tab/>
        <w:t>Huawei</w:t>
      </w:r>
      <w:bookmarkStart w:id="4" w:name="_GoBack"/>
      <w:bookmarkEnd w:id="4"/>
    </w:p>
    <w:p w14:paraId="5876D8F9" w14:textId="728FAD89" w:rsidR="00991D37" w:rsidRDefault="00991D37" w:rsidP="008F2CEB">
      <w:r>
        <w:t>[2]</w:t>
      </w:r>
      <w:r>
        <w:tab/>
        <w:t>R4-2012589</w:t>
      </w:r>
      <w:r>
        <w:tab/>
      </w:r>
      <w:r w:rsidRPr="00991D37">
        <w:t>WF on selecting CLTA height</w:t>
      </w:r>
      <w:r>
        <w:tab/>
        <w:t>Huawei</w:t>
      </w:r>
    </w:p>
    <w:p w14:paraId="776FD107" w14:textId="70DFD332" w:rsidR="00A9170E" w:rsidRPr="008F2CEB" w:rsidRDefault="00A9170E" w:rsidP="008F2CEB">
      <w:r>
        <w:t>[3]</w:t>
      </w:r>
      <w:r>
        <w:tab/>
        <w:t>R4-2009967</w:t>
      </w:r>
      <w:r>
        <w:tab/>
      </w:r>
      <w:r>
        <w:rPr>
          <w:rFonts w:ascii="Arial" w:hAnsi="Arial" w:cs="Arial"/>
        </w:rPr>
        <w:t>On the criteria for selecting a proper CLTA</w:t>
      </w:r>
      <w:r>
        <w:rPr>
          <w:rFonts w:ascii="Arial" w:hAnsi="Arial" w:cs="Arial"/>
        </w:rPr>
        <w:tab/>
        <w:t>Ericsson</w:t>
      </w:r>
    </w:p>
    <w:sectPr w:rsidR="00A9170E" w:rsidRPr="008F2CEB">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0A87F" w14:textId="77777777" w:rsidR="00BD482A" w:rsidRDefault="00BD482A">
      <w:r>
        <w:separator/>
      </w:r>
    </w:p>
  </w:endnote>
  <w:endnote w:type="continuationSeparator" w:id="0">
    <w:p w14:paraId="1EDC096E" w14:textId="77777777" w:rsidR="00BD482A" w:rsidRDefault="00BD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B08A2" w14:textId="77777777" w:rsidR="00BD482A" w:rsidRDefault="00BD482A">
      <w:r>
        <w:separator/>
      </w:r>
    </w:p>
  </w:footnote>
  <w:footnote w:type="continuationSeparator" w:id="0">
    <w:p w14:paraId="064CECFB" w14:textId="77777777" w:rsidR="00BD482A" w:rsidRDefault="00BD48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DC204CF"/>
    <w:multiLevelType w:val="hybridMultilevel"/>
    <w:tmpl w:val="DC02E5E4"/>
    <w:lvl w:ilvl="0" w:tplc="C3147B34">
      <w:start w:val="33"/>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4A210DD8"/>
    <w:multiLevelType w:val="hybridMultilevel"/>
    <w:tmpl w:val="EE5A825C"/>
    <w:lvl w:ilvl="0" w:tplc="7B62FE1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15:restartNumberingAfterBreak="0">
    <w:nsid w:val="694130B1"/>
    <w:multiLevelType w:val="hybridMultilevel"/>
    <w:tmpl w:val="5BFE90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4"/>
  </w:num>
  <w:num w:numId="5">
    <w:abstractNumId w:val="2"/>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0276"/>
    <w:rsid w:val="00012527"/>
    <w:rsid w:val="00015FBE"/>
    <w:rsid w:val="0002191D"/>
    <w:rsid w:val="000266A0"/>
    <w:rsid w:val="00031C1D"/>
    <w:rsid w:val="000322CD"/>
    <w:rsid w:val="00034CE8"/>
    <w:rsid w:val="00036F4C"/>
    <w:rsid w:val="00056887"/>
    <w:rsid w:val="00066A70"/>
    <w:rsid w:val="000671EE"/>
    <w:rsid w:val="0007612B"/>
    <w:rsid w:val="00085221"/>
    <w:rsid w:val="00087F56"/>
    <w:rsid w:val="00093E7E"/>
    <w:rsid w:val="000A13DA"/>
    <w:rsid w:val="000A7DD0"/>
    <w:rsid w:val="000B5956"/>
    <w:rsid w:val="000C435D"/>
    <w:rsid w:val="000C6E1F"/>
    <w:rsid w:val="000D435B"/>
    <w:rsid w:val="000D5B15"/>
    <w:rsid w:val="000D6CFC"/>
    <w:rsid w:val="000D7CB9"/>
    <w:rsid w:val="000E2B01"/>
    <w:rsid w:val="000E3591"/>
    <w:rsid w:val="000E51ED"/>
    <w:rsid w:val="00101B3D"/>
    <w:rsid w:val="00103185"/>
    <w:rsid w:val="001047B7"/>
    <w:rsid w:val="0010732A"/>
    <w:rsid w:val="001208C3"/>
    <w:rsid w:val="001269BC"/>
    <w:rsid w:val="00137691"/>
    <w:rsid w:val="00144609"/>
    <w:rsid w:val="00153528"/>
    <w:rsid w:val="001568A9"/>
    <w:rsid w:val="001604CD"/>
    <w:rsid w:val="00165F90"/>
    <w:rsid w:val="00171DF3"/>
    <w:rsid w:val="001761B2"/>
    <w:rsid w:val="00191FD0"/>
    <w:rsid w:val="001A08AA"/>
    <w:rsid w:val="001A3120"/>
    <w:rsid w:val="001A51E3"/>
    <w:rsid w:val="001A7E04"/>
    <w:rsid w:val="001B256C"/>
    <w:rsid w:val="001B2F0C"/>
    <w:rsid w:val="001B306F"/>
    <w:rsid w:val="001B627A"/>
    <w:rsid w:val="001C3A35"/>
    <w:rsid w:val="001C53E5"/>
    <w:rsid w:val="001C5C71"/>
    <w:rsid w:val="001D5E31"/>
    <w:rsid w:val="001D635C"/>
    <w:rsid w:val="001E135B"/>
    <w:rsid w:val="00212373"/>
    <w:rsid w:val="002138EA"/>
    <w:rsid w:val="00214FBD"/>
    <w:rsid w:val="00222897"/>
    <w:rsid w:val="00222F68"/>
    <w:rsid w:val="00233269"/>
    <w:rsid w:val="00235394"/>
    <w:rsid w:val="0023738A"/>
    <w:rsid w:val="00253510"/>
    <w:rsid w:val="0025557B"/>
    <w:rsid w:val="00257D7D"/>
    <w:rsid w:val="00260FA5"/>
    <w:rsid w:val="002613BF"/>
    <w:rsid w:val="0026179F"/>
    <w:rsid w:val="0026770B"/>
    <w:rsid w:val="00274E1A"/>
    <w:rsid w:val="00275C58"/>
    <w:rsid w:val="0027731D"/>
    <w:rsid w:val="002806BB"/>
    <w:rsid w:val="00282213"/>
    <w:rsid w:val="00285262"/>
    <w:rsid w:val="00287385"/>
    <w:rsid w:val="0028752F"/>
    <w:rsid w:val="0029016E"/>
    <w:rsid w:val="002C1ACE"/>
    <w:rsid w:val="002C6647"/>
    <w:rsid w:val="002D64B4"/>
    <w:rsid w:val="002E7C37"/>
    <w:rsid w:val="002F4093"/>
    <w:rsid w:val="003076EE"/>
    <w:rsid w:val="00307EEA"/>
    <w:rsid w:val="00307FE3"/>
    <w:rsid w:val="00312074"/>
    <w:rsid w:val="00324C71"/>
    <w:rsid w:val="003252D8"/>
    <w:rsid w:val="00327A96"/>
    <w:rsid w:val="0033563F"/>
    <w:rsid w:val="00342E32"/>
    <w:rsid w:val="003450C4"/>
    <w:rsid w:val="003473D0"/>
    <w:rsid w:val="00352B40"/>
    <w:rsid w:val="003547E6"/>
    <w:rsid w:val="003602AF"/>
    <w:rsid w:val="00360D36"/>
    <w:rsid w:val="00362AE4"/>
    <w:rsid w:val="00367724"/>
    <w:rsid w:val="00373BEF"/>
    <w:rsid w:val="0037650E"/>
    <w:rsid w:val="00377081"/>
    <w:rsid w:val="003855D7"/>
    <w:rsid w:val="00393DA8"/>
    <w:rsid w:val="003943E2"/>
    <w:rsid w:val="00396594"/>
    <w:rsid w:val="003A54B2"/>
    <w:rsid w:val="003B2363"/>
    <w:rsid w:val="003B3240"/>
    <w:rsid w:val="003B405C"/>
    <w:rsid w:val="003B4E14"/>
    <w:rsid w:val="003C127C"/>
    <w:rsid w:val="003C1CF6"/>
    <w:rsid w:val="003C32D4"/>
    <w:rsid w:val="003C633B"/>
    <w:rsid w:val="003D7224"/>
    <w:rsid w:val="003E0755"/>
    <w:rsid w:val="003E4B1C"/>
    <w:rsid w:val="003F0FF2"/>
    <w:rsid w:val="004104BD"/>
    <w:rsid w:val="00416DA7"/>
    <w:rsid w:val="004219AB"/>
    <w:rsid w:val="00425DC9"/>
    <w:rsid w:val="00430980"/>
    <w:rsid w:val="00440BB1"/>
    <w:rsid w:val="00444225"/>
    <w:rsid w:val="00450ADA"/>
    <w:rsid w:val="004836DA"/>
    <w:rsid w:val="00486547"/>
    <w:rsid w:val="00494025"/>
    <w:rsid w:val="004A17C7"/>
    <w:rsid w:val="004B1D1B"/>
    <w:rsid w:val="004B3A0A"/>
    <w:rsid w:val="004B5C8E"/>
    <w:rsid w:val="004B73DB"/>
    <w:rsid w:val="004C3CE5"/>
    <w:rsid w:val="004C4342"/>
    <w:rsid w:val="004D4F95"/>
    <w:rsid w:val="004D71B0"/>
    <w:rsid w:val="004D7A3C"/>
    <w:rsid w:val="004F624F"/>
    <w:rsid w:val="004F7A3D"/>
    <w:rsid w:val="00500ADB"/>
    <w:rsid w:val="00505BFA"/>
    <w:rsid w:val="00505F46"/>
    <w:rsid w:val="00513582"/>
    <w:rsid w:val="00517471"/>
    <w:rsid w:val="00522E0F"/>
    <w:rsid w:val="00542158"/>
    <w:rsid w:val="005421E4"/>
    <w:rsid w:val="005425EF"/>
    <w:rsid w:val="005530AA"/>
    <w:rsid w:val="00573894"/>
    <w:rsid w:val="00574154"/>
    <w:rsid w:val="00583B03"/>
    <w:rsid w:val="005858AA"/>
    <w:rsid w:val="00586532"/>
    <w:rsid w:val="00595980"/>
    <w:rsid w:val="005B0171"/>
    <w:rsid w:val="005B138A"/>
    <w:rsid w:val="005B2E18"/>
    <w:rsid w:val="005C33E9"/>
    <w:rsid w:val="005C7E21"/>
    <w:rsid w:val="005D1D8B"/>
    <w:rsid w:val="005E3BCA"/>
    <w:rsid w:val="005E3F90"/>
    <w:rsid w:val="005F4883"/>
    <w:rsid w:val="006073B3"/>
    <w:rsid w:val="00613DE1"/>
    <w:rsid w:val="00614C3C"/>
    <w:rsid w:val="00616806"/>
    <w:rsid w:val="00620DBC"/>
    <w:rsid w:val="0062377C"/>
    <w:rsid w:val="00632875"/>
    <w:rsid w:val="00633224"/>
    <w:rsid w:val="00634D04"/>
    <w:rsid w:val="00641F74"/>
    <w:rsid w:val="00642BEA"/>
    <w:rsid w:val="00645857"/>
    <w:rsid w:val="00650D90"/>
    <w:rsid w:val="006657D5"/>
    <w:rsid w:val="0068057B"/>
    <w:rsid w:val="006856E5"/>
    <w:rsid w:val="00686B18"/>
    <w:rsid w:val="00696140"/>
    <w:rsid w:val="006B0D02"/>
    <w:rsid w:val="006B3304"/>
    <w:rsid w:val="006B4324"/>
    <w:rsid w:val="006B7184"/>
    <w:rsid w:val="006C1D31"/>
    <w:rsid w:val="006D2CB3"/>
    <w:rsid w:val="006D3D53"/>
    <w:rsid w:val="006D477F"/>
    <w:rsid w:val="006D798B"/>
    <w:rsid w:val="00703205"/>
    <w:rsid w:val="0070646B"/>
    <w:rsid w:val="007066FA"/>
    <w:rsid w:val="0070677D"/>
    <w:rsid w:val="00707941"/>
    <w:rsid w:val="00711F5E"/>
    <w:rsid w:val="0071287E"/>
    <w:rsid w:val="00722929"/>
    <w:rsid w:val="007247D5"/>
    <w:rsid w:val="00726ABE"/>
    <w:rsid w:val="0073182D"/>
    <w:rsid w:val="00731930"/>
    <w:rsid w:val="00733573"/>
    <w:rsid w:val="007350F6"/>
    <w:rsid w:val="00742737"/>
    <w:rsid w:val="00751787"/>
    <w:rsid w:val="00751982"/>
    <w:rsid w:val="007552FB"/>
    <w:rsid w:val="007651E3"/>
    <w:rsid w:val="00766A77"/>
    <w:rsid w:val="0078144D"/>
    <w:rsid w:val="00793BA1"/>
    <w:rsid w:val="00794277"/>
    <w:rsid w:val="007A72E9"/>
    <w:rsid w:val="007A794E"/>
    <w:rsid w:val="007B6162"/>
    <w:rsid w:val="007B6D18"/>
    <w:rsid w:val="007B6D70"/>
    <w:rsid w:val="007C1BCF"/>
    <w:rsid w:val="007C2BC8"/>
    <w:rsid w:val="007D6048"/>
    <w:rsid w:val="007D6E3D"/>
    <w:rsid w:val="007E2875"/>
    <w:rsid w:val="007E376C"/>
    <w:rsid w:val="007E398F"/>
    <w:rsid w:val="007E54CD"/>
    <w:rsid w:val="007E59AE"/>
    <w:rsid w:val="007E6A3B"/>
    <w:rsid w:val="007F055F"/>
    <w:rsid w:val="007F0E1E"/>
    <w:rsid w:val="007F4253"/>
    <w:rsid w:val="007F6103"/>
    <w:rsid w:val="007F62EA"/>
    <w:rsid w:val="00803F95"/>
    <w:rsid w:val="00812D42"/>
    <w:rsid w:val="008165EB"/>
    <w:rsid w:val="008239B4"/>
    <w:rsid w:val="00823E1D"/>
    <w:rsid w:val="00832EC2"/>
    <w:rsid w:val="00836C44"/>
    <w:rsid w:val="00844063"/>
    <w:rsid w:val="00853E16"/>
    <w:rsid w:val="00867FC7"/>
    <w:rsid w:val="008717AB"/>
    <w:rsid w:val="00873725"/>
    <w:rsid w:val="00885CD1"/>
    <w:rsid w:val="008873FB"/>
    <w:rsid w:val="0089240B"/>
    <w:rsid w:val="00893454"/>
    <w:rsid w:val="00893DD9"/>
    <w:rsid w:val="00895EC8"/>
    <w:rsid w:val="008B6EE0"/>
    <w:rsid w:val="008B77DD"/>
    <w:rsid w:val="008C59C4"/>
    <w:rsid w:val="008C60E9"/>
    <w:rsid w:val="008C6746"/>
    <w:rsid w:val="008C7A0B"/>
    <w:rsid w:val="008D3724"/>
    <w:rsid w:val="008D4165"/>
    <w:rsid w:val="008D6505"/>
    <w:rsid w:val="008F2CEB"/>
    <w:rsid w:val="008F7D93"/>
    <w:rsid w:val="00900976"/>
    <w:rsid w:val="0090245D"/>
    <w:rsid w:val="00902558"/>
    <w:rsid w:val="00904A82"/>
    <w:rsid w:val="00911FD0"/>
    <w:rsid w:val="0092124A"/>
    <w:rsid w:val="009246C1"/>
    <w:rsid w:val="009250A3"/>
    <w:rsid w:val="00927470"/>
    <w:rsid w:val="00931702"/>
    <w:rsid w:val="00931F09"/>
    <w:rsid w:val="0093235B"/>
    <w:rsid w:val="00940B14"/>
    <w:rsid w:val="00946169"/>
    <w:rsid w:val="00951AE4"/>
    <w:rsid w:val="00952FA0"/>
    <w:rsid w:val="0095460F"/>
    <w:rsid w:val="00961F97"/>
    <w:rsid w:val="00970A09"/>
    <w:rsid w:val="00971D9F"/>
    <w:rsid w:val="00976C55"/>
    <w:rsid w:val="00980247"/>
    <w:rsid w:val="00983910"/>
    <w:rsid w:val="0098598B"/>
    <w:rsid w:val="009868CB"/>
    <w:rsid w:val="00986C06"/>
    <w:rsid w:val="00991D37"/>
    <w:rsid w:val="0099497B"/>
    <w:rsid w:val="00996D3C"/>
    <w:rsid w:val="00997615"/>
    <w:rsid w:val="009A37B6"/>
    <w:rsid w:val="009A56E4"/>
    <w:rsid w:val="009B2AFC"/>
    <w:rsid w:val="009B2E99"/>
    <w:rsid w:val="009B3F92"/>
    <w:rsid w:val="009B3F98"/>
    <w:rsid w:val="009B451C"/>
    <w:rsid w:val="009C0727"/>
    <w:rsid w:val="009C330C"/>
    <w:rsid w:val="009C3926"/>
    <w:rsid w:val="009D0AB1"/>
    <w:rsid w:val="009D1CC7"/>
    <w:rsid w:val="009D39C5"/>
    <w:rsid w:val="009D3C34"/>
    <w:rsid w:val="009D564B"/>
    <w:rsid w:val="009F180A"/>
    <w:rsid w:val="009F5663"/>
    <w:rsid w:val="009F5923"/>
    <w:rsid w:val="009F65F1"/>
    <w:rsid w:val="009F6754"/>
    <w:rsid w:val="00A01CA7"/>
    <w:rsid w:val="00A033F1"/>
    <w:rsid w:val="00A04968"/>
    <w:rsid w:val="00A1648E"/>
    <w:rsid w:val="00A17573"/>
    <w:rsid w:val="00A205A9"/>
    <w:rsid w:val="00A31E0C"/>
    <w:rsid w:val="00A54223"/>
    <w:rsid w:val="00A5625D"/>
    <w:rsid w:val="00A623E9"/>
    <w:rsid w:val="00A63A9C"/>
    <w:rsid w:val="00A65439"/>
    <w:rsid w:val="00A7278E"/>
    <w:rsid w:val="00A72864"/>
    <w:rsid w:val="00A81B15"/>
    <w:rsid w:val="00A835D7"/>
    <w:rsid w:val="00A83678"/>
    <w:rsid w:val="00A85DBC"/>
    <w:rsid w:val="00A9170E"/>
    <w:rsid w:val="00A9364F"/>
    <w:rsid w:val="00A96C36"/>
    <w:rsid w:val="00AA1ACA"/>
    <w:rsid w:val="00AA5DED"/>
    <w:rsid w:val="00AB3F85"/>
    <w:rsid w:val="00AC694F"/>
    <w:rsid w:val="00AD091A"/>
    <w:rsid w:val="00AD6C47"/>
    <w:rsid w:val="00AD6E1C"/>
    <w:rsid w:val="00AD7B11"/>
    <w:rsid w:val="00AE5E8E"/>
    <w:rsid w:val="00AE64B3"/>
    <w:rsid w:val="00AE6BBA"/>
    <w:rsid w:val="00AE778F"/>
    <w:rsid w:val="00AF3220"/>
    <w:rsid w:val="00B12D97"/>
    <w:rsid w:val="00B159D5"/>
    <w:rsid w:val="00B21114"/>
    <w:rsid w:val="00B21530"/>
    <w:rsid w:val="00B250A2"/>
    <w:rsid w:val="00B25DE0"/>
    <w:rsid w:val="00B26517"/>
    <w:rsid w:val="00B306F1"/>
    <w:rsid w:val="00B350C7"/>
    <w:rsid w:val="00B373D3"/>
    <w:rsid w:val="00B43095"/>
    <w:rsid w:val="00B53FE2"/>
    <w:rsid w:val="00B579B9"/>
    <w:rsid w:val="00B65641"/>
    <w:rsid w:val="00B663E1"/>
    <w:rsid w:val="00B72448"/>
    <w:rsid w:val="00B72691"/>
    <w:rsid w:val="00B746E7"/>
    <w:rsid w:val="00B75969"/>
    <w:rsid w:val="00B8446C"/>
    <w:rsid w:val="00B8514D"/>
    <w:rsid w:val="00B85CA4"/>
    <w:rsid w:val="00B96A86"/>
    <w:rsid w:val="00BA3EC1"/>
    <w:rsid w:val="00BA723E"/>
    <w:rsid w:val="00BA7A28"/>
    <w:rsid w:val="00BB1E7F"/>
    <w:rsid w:val="00BB63C0"/>
    <w:rsid w:val="00BC2BF0"/>
    <w:rsid w:val="00BC47D8"/>
    <w:rsid w:val="00BC6CCE"/>
    <w:rsid w:val="00BD482A"/>
    <w:rsid w:val="00BD6420"/>
    <w:rsid w:val="00BD79F5"/>
    <w:rsid w:val="00BF52AB"/>
    <w:rsid w:val="00C03D6B"/>
    <w:rsid w:val="00C16C39"/>
    <w:rsid w:val="00C24B2F"/>
    <w:rsid w:val="00C27797"/>
    <w:rsid w:val="00C3068F"/>
    <w:rsid w:val="00C33600"/>
    <w:rsid w:val="00C34B0C"/>
    <w:rsid w:val="00C37EA9"/>
    <w:rsid w:val="00C43C6E"/>
    <w:rsid w:val="00C51828"/>
    <w:rsid w:val="00C54F16"/>
    <w:rsid w:val="00C55C02"/>
    <w:rsid w:val="00C602F1"/>
    <w:rsid w:val="00C72303"/>
    <w:rsid w:val="00C732D5"/>
    <w:rsid w:val="00C80450"/>
    <w:rsid w:val="00C841E3"/>
    <w:rsid w:val="00C8473B"/>
    <w:rsid w:val="00CB2802"/>
    <w:rsid w:val="00CB58F9"/>
    <w:rsid w:val="00CB76A8"/>
    <w:rsid w:val="00CC00F0"/>
    <w:rsid w:val="00CC0A92"/>
    <w:rsid w:val="00CC2547"/>
    <w:rsid w:val="00CC4027"/>
    <w:rsid w:val="00CC410F"/>
    <w:rsid w:val="00CD0627"/>
    <w:rsid w:val="00CD325E"/>
    <w:rsid w:val="00CE1BE6"/>
    <w:rsid w:val="00CE4F79"/>
    <w:rsid w:val="00CE5967"/>
    <w:rsid w:val="00CE627D"/>
    <w:rsid w:val="00CE6E30"/>
    <w:rsid w:val="00CF61C0"/>
    <w:rsid w:val="00CF7BED"/>
    <w:rsid w:val="00D005DC"/>
    <w:rsid w:val="00D04E92"/>
    <w:rsid w:val="00D115EA"/>
    <w:rsid w:val="00D122C0"/>
    <w:rsid w:val="00D20744"/>
    <w:rsid w:val="00D2097A"/>
    <w:rsid w:val="00D233BA"/>
    <w:rsid w:val="00D2486E"/>
    <w:rsid w:val="00D32B25"/>
    <w:rsid w:val="00D34E20"/>
    <w:rsid w:val="00D3707F"/>
    <w:rsid w:val="00D41BEE"/>
    <w:rsid w:val="00D50AE9"/>
    <w:rsid w:val="00D510B7"/>
    <w:rsid w:val="00D520E4"/>
    <w:rsid w:val="00D57DFA"/>
    <w:rsid w:val="00D625B3"/>
    <w:rsid w:val="00D64225"/>
    <w:rsid w:val="00D70D53"/>
    <w:rsid w:val="00D72BC9"/>
    <w:rsid w:val="00D73C0E"/>
    <w:rsid w:val="00D74450"/>
    <w:rsid w:val="00D756B6"/>
    <w:rsid w:val="00D850F1"/>
    <w:rsid w:val="00D8669A"/>
    <w:rsid w:val="00D873AC"/>
    <w:rsid w:val="00D91919"/>
    <w:rsid w:val="00D92FE0"/>
    <w:rsid w:val="00DA0F3D"/>
    <w:rsid w:val="00DC0640"/>
    <w:rsid w:val="00DC462F"/>
    <w:rsid w:val="00DD0C2C"/>
    <w:rsid w:val="00DF7083"/>
    <w:rsid w:val="00E12EB7"/>
    <w:rsid w:val="00E13055"/>
    <w:rsid w:val="00E13A4A"/>
    <w:rsid w:val="00E24717"/>
    <w:rsid w:val="00E24FE0"/>
    <w:rsid w:val="00E25C05"/>
    <w:rsid w:val="00E31856"/>
    <w:rsid w:val="00E3585D"/>
    <w:rsid w:val="00E417C4"/>
    <w:rsid w:val="00E510D4"/>
    <w:rsid w:val="00E52F3B"/>
    <w:rsid w:val="00E55ABC"/>
    <w:rsid w:val="00E57B74"/>
    <w:rsid w:val="00E677DC"/>
    <w:rsid w:val="00E72D9D"/>
    <w:rsid w:val="00E73A60"/>
    <w:rsid w:val="00E7697D"/>
    <w:rsid w:val="00E77A9C"/>
    <w:rsid w:val="00E8629F"/>
    <w:rsid w:val="00E8690F"/>
    <w:rsid w:val="00E90178"/>
    <w:rsid w:val="00E90F8C"/>
    <w:rsid w:val="00E96009"/>
    <w:rsid w:val="00E96535"/>
    <w:rsid w:val="00EA3C24"/>
    <w:rsid w:val="00EB37D2"/>
    <w:rsid w:val="00EB3BDE"/>
    <w:rsid w:val="00EB5789"/>
    <w:rsid w:val="00EC0173"/>
    <w:rsid w:val="00EC49B6"/>
    <w:rsid w:val="00ED04DF"/>
    <w:rsid w:val="00EE370E"/>
    <w:rsid w:val="00EE41ED"/>
    <w:rsid w:val="00EE587A"/>
    <w:rsid w:val="00EE65ED"/>
    <w:rsid w:val="00EF2512"/>
    <w:rsid w:val="00EF7683"/>
    <w:rsid w:val="00F00DE1"/>
    <w:rsid w:val="00F019DA"/>
    <w:rsid w:val="00F072D8"/>
    <w:rsid w:val="00F14AF8"/>
    <w:rsid w:val="00F21F81"/>
    <w:rsid w:val="00F22A25"/>
    <w:rsid w:val="00F242D5"/>
    <w:rsid w:val="00F25D2D"/>
    <w:rsid w:val="00F30686"/>
    <w:rsid w:val="00F331D1"/>
    <w:rsid w:val="00F4067C"/>
    <w:rsid w:val="00F414FE"/>
    <w:rsid w:val="00F42C86"/>
    <w:rsid w:val="00F452AE"/>
    <w:rsid w:val="00F62826"/>
    <w:rsid w:val="00F63459"/>
    <w:rsid w:val="00F636DB"/>
    <w:rsid w:val="00F6636D"/>
    <w:rsid w:val="00F6718A"/>
    <w:rsid w:val="00F75719"/>
    <w:rsid w:val="00F821F0"/>
    <w:rsid w:val="00F85286"/>
    <w:rsid w:val="00F859B5"/>
    <w:rsid w:val="00F91D25"/>
    <w:rsid w:val="00FB7064"/>
    <w:rsid w:val="00FC051F"/>
    <w:rsid w:val="00FC2177"/>
    <w:rsid w:val="00FC5E1A"/>
    <w:rsid w:val="00FD0AB0"/>
    <w:rsid w:val="00FD5616"/>
    <w:rsid w:val="00FD7088"/>
    <w:rsid w:val="00FE0E93"/>
    <w:rsid w:val="00FE0FC5"/>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table" w:customStyle="1" w:styleId="Tabellengitternetz1">
    <w:name w:val="Tabellengitternetz1"/>
    <w:basedOn w:val="TableNormal"/>
    <w:next w:val="TableGrid"/>
    <w:rsid w:val="00B2111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48393529">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47245714">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7431631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237861641">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1774137">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chart" Target="charts/chart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rwx227902\Documents\RAN4%20contributions\2011-%20emeeting%2397\NR%20maint\CLTA%20oob%20v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rwx227902\Documents\RAN4%20contributions\2011-%20emeeting%2397\NR%20maint\CLTA%20oob%20v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CN" sz="1200" b="0" i="0" baseline="0">
                <a:effectLst/>
              </a:rPr>
              <a:t>CLTA height method comparison (2GHz 0.9</a:t>
            </a:r>
            <a:r>
              <a:rPr lang="el-GR" altLang="zh-CN" sz="1200" b="0" i="0" baseline="0">
                <a:effectLst/>
              </a:rPr>
              <a:t>λ</a:t>
            </a:r>
            <a:r>
              <a:rPr lang="en-US" altLang="zh-CN" sz="1200" b="0" i="0" baseline="0">
                <a:effectLst/>
              </a:rPr>
              <a:t>*8 DUT)</a:t>
            </a:r>
            <a:endParaRPr lang="zh-CN" altLang="zh-CN" sz="1200">
              <a:effectLst/>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2"/>
          <c:order val="0"/>
          <c:tx>
            <c:strRef>
              <c:f>Sheet4!$M$5</c:f>
              <c:strCache>
                <c:ptCount val="1"/>
                <c:pt idx="0">
                  <c:v>Option 1 (2)</c:v>
                </c:pt>
              </c:strCache>
            </c:strRef>
          </c:tx>
          <c:spPr>
            <a:ln w="19050" cap="rnd">
              <a:solidFill>
                <a:schemeClr val="accent6">
                  <a:lumMod val="75000"/>
                </a:schemeClr>
              </a:solidFill>
              <a:round/>
            </a:ln>
            <a:effectLst/>
          </c:spPr>
          <c:marker>
            <c:symbol val="none"/>
          </c:marker>
          <c:xVal>
            <c:numRef>
              <c:f>Sheet4!$P$7:$P$34</c:f>
              <c:numCache>
                <c:formatCode>General</c:formatCode>
                <c:ptCount val="28"/>
                <c:pt idx="0">
                  <c:v>0.5</c:v>
                </c:pt>
                <c:pt idx="1">
                  <c:v>0.7</c:v>
                </c:pt>
                <c:pt idx="2">
                  <c:v>0.89999999999999991</c:v>
                </c:pt>
                <c:pt idx="3">
                  <c:v>1.0999999999999999</c:v>
                </c:pt>
                <c:pt idx="4">
                  <c:v>1.2999999999999998</c:v>
                </c:pt>
                <c:pt idx="5">
                  <c:v>1.4999999999999998</c:v>
                </c:pt>
                <c:pt idx="6">
                  <c:v>1.6999999999999997</c:v>
                </c:pt>
                <c:pt idx="7">
                  <c:v>1.8999999999999997</c:v>
                </c:pt>
                <c:pt idx="8">
                  <c:v>2.0999999999999996</c:v>
                </c:pt>
                <c:pt idx="9">
                  <c:v>2.2999999999999998</c:v>
                </c:pt>
                <c:pt idx="10">
                  <c:v>2.5</c:v>
                </c:pt>
                <c:pt idx="11">
                  <c:v>2.7</c:v>
                </c:pt>
                <c:pt idx="12">
                  <c:v>2.9000000000000004</c:v>
                </c:pt>
                <c:pt idx="13">
                  <c:v>3.1000000000000005</c:v>
                </c:pt>
                <c:pt idx="14">
                  <c:v>3.3000000000000007</c:v>
                </c:pt>
                <c:pt idx="15">
                  <c:v>3.5000000000000009</c:v>
                </c:pt>
                <c:pt idx="16">
                  <c:v>3.7000000000000011</c:v>
                </c:pt>
                <c:pt idx="17">
                  <c:v>3.9000000000000012</c:v>
                </c:pt>
                <c:pt idx="18">
                  <c:v>4.1000000000000014</c:v>
                </c:pt>
                <c:pt idx="19">
                  <c:v>4.3000000000000016</c:v>
                </c:pt>
                <c:pt idx="20">
                  <c:v>4.5000000000000018</c:v>
                </c:pt>
                <c:pt idx="21">
                  <c:v>4.700000000000002</c:v>
                </c:pt>
                <c:pt idx="22">
                  <c:v>4.9000000000000021</c:v>
                </c:pt>
                <c:pt idx="23">
                  <c:v>5.1000000000000023</c:v>
                </c:pt>
                <c:pt idx="24">
                  <c:v>5.3000000000000025</c:v>
                </c:pt>
                <c:pt idx="25">
                  <c:v>5.5000000000000027</c:v>
                </c:pt>
                <c:pt idx="26">
                  <c:v>5.7000000000000028</c:v>
                </c:pt>
                <c:pt idx="27">
                  <c:v>5.900000000000003</c:v>
                </c:pt>
              </c:numCache>
            </c:numRef>
          </c:xVal>
          <c:yVal>
            <c:numRef>
              <c:f>Sheet4!$M$7:$M$34</c:f>
              <c:numCache>
                <c:formatCode>General</c:formatCode>
                <c:ptCount val="28"/>
                <c:pt idx="0">
                  <c:v>1.08</c:v>
                </c:pt>
                <c:pt idx="1">
                  <c:v>1.08</c:v>
                </c:pt>
                <c:pt idx="2">
                  <c:v>1.08</c:v>
                </c:pt>
                <c:pt idx="3">
                  <c:v>1.08</c:v>
                </c:pt>
                <c:pt idx="4">
                  <c:v>1.08</c:v>
                </c:pt>
                <c:pt idx="5">
                  <c:v>1.08</c:v>
                </c:pt>
                <c:pt idx="6">
                  <c:v>1.08</c:v>
                </c:pt>
                <c:pt idx="7">
                  <c:v>1.08</c:v>
                </c:pt>
                <c:pt idx="8">
                  <c:v>1.08</c:v>
                </c:pt>
                <c:pt idx="9">
                  <c:v>1.08</c:v>
                </c:pt>
                <c:pt idx="10">
                  <c:v>1.08</c:v>
                </c:pt>
                <c:pt idx="11">
                  <c:v>1.08</c:v>
                </c:pt>
                <c:pt idx="12">
                  <c:v>1.08</c:v>
                </c:pt>
                <c:pt idx="13">
                  <c:v>1.08</c:v>
                </c:pt>
                <c:pt idx="14">
                  <c:v>1.08</c:v>
                </c:pt>
                <c:pt idx="15">
                  <c:v>1.08</c:v>
                </c:pt>
                <c:pt idx="16">
                  <c:v>1.08</c:v>
                </c:pt>
                <c:pt idx="17">
                  <c:v>1.08</c:v>
                </c:pt>
                <c:pt idx="18">
                  <c:v>1.08</c:v>
                </c:pt>
                <c:pt idx="19">
                  <c:v>1.08</c:v>
                </c:pt>
                <c:pt idx="20">
                  <c:v>1.08</c:v>
                </c:pt>
                <c:pt idx="21">
                  <c:v>1.08</c:v>
                </c:pt>
                <c:pt idx="22">
                  <c:v>1.08</c:v>
                </c:pt>
                <c:pt idx="23">
                  <c:v>1.08</c:v>
                </c:pt>
                <c:pt idx="24">
                  <c:v>1.08</c:v>
                </c:pt>
                <c:pt idx="25">
                  <c:v>1.08</c:v>
                </c:pt>
                <c:pt idx="26">
                  <c:v>1.08</c:v>
                </c:pt>
                <c:pt idx="27">
                  <c:v>1.08</c:v>
                </c:pt>
              </c:numCache>
            </c:numRef>
          </c:yVal>
          <c:smooth val="0"/>
        </c:ser>
        <c:ser>
          <c:idx val="0"/>
          <c:order val="1"/>
          <c:tx>
            <c:strRef>
              <c:f>Sheet4!$N$5</c:f>
              <c:strCache>
                <c:ptCount val="1"/>
                <c:pt idx="0">
                  <c:v>Option 1 (1)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Sheet4!$P$7:$P$34</c:f>
              <c:numCache>
                <c:formatCode>General</c:formatCode>
                <c:ptCount val="28"/>
                <c:pt idx="0">
                  <c:v>0.5</c:v>
                </c:pt>
                <c:pt idx="1">
                  <c:v>0.7</c:v>
                </c:pt>
                <c:pt idx="2">
                  <c:v>0.89999999999999991</c:v>
                </c:pt>
                <c:pt idx="3">
                  <c:v>1.0999999999999999</c:v>
                </c:pt>
                <c:pt idx="4">
                  <c:v>1.2999999999999998</c:v>
                </c:pt>
                <c:pt idx="5">
                  <c:v>1.4999999999999998</c:v>
                </c:pt>
                <c:pt idx="6">
                  <c:v>1.6999999999999997</c:v>
                </c:pt>
                <c:pt idx="7">
                  <c:v>1.8999999999999997</c:v>
                </c:pt>
                <c:pt idx="8">
                  <c:v>2.0999999999999996</c:v>
                </c:pt>
                <c:pt idx="9">
                  <c:v>2.2999999999999998</c:v>
                </c:pt>
                <c:pt idx="10">
                  <c:v>2.5</c:v>
                </c:pt>
                <c:pt idx="11">
                  <c:v>2.7</c:v>
                </c:pt>
                <c:pt idx="12">
                  <c:v>2.9000000000000004</c:v>
                </c:pt>
                <c:pt idx="13">
                  <c:v>3.1000000000000005</c:v>
                </c:pt>
                <c:pt idx="14">
                  <c:v>3.3000000000000007</c:v>
                </c:pt>
                <c:pt idx="15">
                  <c:v>3.5000000000000009</c:v>
                </c:pt>
                <c:pt idx="16">
                  <c:v>3.7000000000000011</c:v>
                </c:pt>
                <c:pt idx="17">
                  <c:v>3.9000000000000012</c:v>
                </c:pt>
                <c:pt idx="18">
                  <c:v>4.1000000000000014</c:v>
                </c:pt>
                <c:pt idx="19">
                  <c:v>4.3000000000000016</c:v>
                </c:pt>
                <c:pt idx="20">
                  <c:v>4.5000000000000018</c:v>
                </c:pt>
                <c:pt idx="21">
                  <c:v>4.700000000000002</c:v>
                </c:pt>
                <c:pt idx="22">
                  <c:v>4.9000000000000021</c:v>
                </c:pt>
                <c:pt idx="23">
                  <c:v>5.1000000000000023</c:v>
                </c:pt>
                <c:pt idx="24">
                  <c:v>5.3000000000000025</c:v>
                </c:pt>
                <c:pt idx="25">
                  <c:v>5.5000000000000027</c:v>
                </c:pt>
                <c:pt idx="26">
                  <c:v>5.7000000000000028</c:v>
                </c:pt>
                <c:pt idx="27">
                  <c:v>5.900000000000003</c:v>
                </c:pt>
              </c:numCache>
            </c:numRef>
          </c:xVal>
          <c:yVal>
            <c:numRef>
              <c:f>Sheet4!$N$7:$N$34</c:f>
              <c:numCache>
                <c:formatCode>General</c:formatCode>
                <c:ptCount val="28"/>
                <c:pt idx="0">
                  <c:v>4.32</c:v>
                </c:pt>
                <c:pt idx="1">
                  <c:v>3.0857142857142863</c:v>
                </c:pt>
                <c:pt idx="2">
                  <c:v>2.4000000000000008</c:v>
                </c:pt>
                <c:pt idx="3">
                  <c:v>1.9636363636363641</c:v>
                </c:pt>
                <c:pt idx="4">
                  <c:v>1.6615384615384621</c:v>
                </c:pt>
                <c:pt idx="5">
                  <c:v>1.4400000000000006</c:v>
                </c:pt>
                <c:pt idx="6">
                  <c:v>1.2705882352941178</c:v>
                </c:pt>
                <c:pt idx="7">
                  <c:v>1.1368421052631581</c:v>
                </c:pt>
                <c:pt idx="8">
                  <c:v>1.0285714285714289</c:v>
                </c:pt>
                <c:pt idx="9">
                  <c:v>0.93913043478260883</c:v>
                </c:pt>
                <c:pt idx="10">
                  <c:v>0.8640000000000001</c:v>
                </c:pt>
                <c:pt idx="11">
                  <c:v>0.8</c:v>
                </c:pt>
                <c:pt idx="12">
                  <c:v>0.7448275862068966</c:v>
                </c:pt>
                <c:pt idx="13">
                  <c:v>0.6967741935483871</c:v>
                </c:pt>
                <c:pt idx="14">
                  <c:v>0.65454545454545454</c:v>
                </c:pt>
                <c:pt idx="15">
                  <c:v>0.61714285714285699</c:v>
                </c:pt>
                <c:pt idx="16">
                  <c:v>0.58378378378378371</c:v>
                </c:pt>
                <c:pt idx="17">
                  <c:v>0.55384615384615377</c:v>
                </c:pt>
                <c:pt idx="18">
                  <c:v>0.52682926829268284</c:v>
                </c:pt>
                <c:pt idx="19">
                  <c:v>0.50232558139534877</c:v>
                </c:pt>
                <c:pt idx="20">
                  <c:v>0.47999999999999987</c:v>
                </c:pt>
                <c:pt idx="21">
                  <c:v>0.45957446808510621</c:v>
                </c:pt>
                <c:pt idx="22">
                  <c:v>0.44081632653061215</c:v>
                </c:pt>
                <c:pt idx="23">
                  <c:v>0.42352941176470577</c:v>
                </c:pt>
                <c:pt idx="24">
                  <c:v>0.40754716981132055</c:v>
                </c:pt>
                <c:pt idx="25">
                  <c:v>0.39272727272727254</c:v>
                </c:pt>
                <c:pt idx="26">
                  <c:v>0.37894736842105253</c:v>
                </c:pt>
                <c:pt idx="27">
                  <c:v>0.36610169491525407</c:v>
                </c:pt>
              </c:numCache>
            </c:numRef>
          </c:yVal>
          <c:smooth val="0"/>
        </c:ser>
        <c:ser>
          <c:idx val="1"/>
          <c:order val="2"/>
          <c:tx>
            <c:strRef>
              <c:f>Sheet4!$J$5</c:f>
              <c:strCache>
                <c:ptCount val="1"/>
                <c:pt idx="0">
                  <c:v>option 2</c:v>
                </c:pt>
              </c:strCache>
            </c:strRef>
          </c:tx>
          <c:spPr>
            <a:ln w="19050" cap="rnd">
              <a:solidFill>
                <a:schemeClr val="accent2"/>
              </a:solidFill>
              <a:round/>
            </a:ln>
            <a:effectLst/>
          </c:spPr>
          <c:marker>
            <c:symbol val="none"/>
          </c:marker>
          <c:xVal>
            <c:numRef>
              <c:f>Sheet4!$P$7:$P$34</c:f>
              <c:numCache>
                <c:formatCode>General</c:formatCode>
                <c:ptCount val="28"/>
                <c:pt idx="0">
                  <c:v>0.5</c:v>
                </c:pt>
                <c:pt idx="1">
                  <c:v>0.7</c:v>
                </c:pt>
                <c:pt idx="2">
                  <c:v>0.89999999999999991</c:v>
                </c:pt>
                <c:pt idx="3">
                  <c:v>1.0999999999999999</c:v>
                </c:pt>
                <c:pt idx="4">
                  <c:v>1.2999999999999998</c:v>
                </c:pt>
                <c:pt idx="5">
                  <c:v>1.4999999999999998</c:v>
                </c:pt>
                <c:pt idx="6">
                  <c:v>1.6999999999999997</c:v>
                </c:pt>
                <c:pt idx="7">
                  <c:v>1.8999999999999997</c:v>
                </c:pt>
                <c:pt idx="8">
                  <c:v>2.0999999999999996</c:v>
                </c:pt>
                <c:pt idx="9">
                  <c:v>2.2999999999999998</c:v>
                </c:pt>
                <c:pt idx="10">
                  <c:v>2.5</c:v>
                </c:pt>
                <c:pt idx="11">
                  <c:v>2.7</c:v>
                </c:pt>
                <c:pt idx="12">
                  <c:v>2.9000000000000004</c:v>
                </c:pt>
                <c:pt idx="13">
                  <c:v>3.1000000000000005</c:v>
                </c:pt>
                <c:pt idx="14">
                  <c:v>3.3000000000000007</c:v>
                </c:pt>
                <c:pt idx="15">
                  <c:v>3.5000000000000009</c:v>
                </c:pt>
                <c:pt idx="16">
                  <c:v>3.7000000000000011</c:v>
                </c:pt>
                <c:pt idx="17">
                  <c:v>3.9000000000000012</c:v>
                </c:pt>
                <c:pt idx="18">
                  <c:v>4.1000000000000014</c:v>
                </c:pt>
                <c:pt idx="19">
                  <c:v>4.3000000000000016</c:v>
                </c:pt>
                <c:pt idx="20">
                  <c:v>4.5000000000000018</c:v>
                </c:pt>
                <c:pt idx="21">
                  <c:v>4.700000000000002</c:v>
                </c:pt>
                <c:pt idx="22">
                  <c:v>4.9000000000000021</c:v>
                </c:pt>
                <c:pt idx="23">
                  <c:v>5.1000000000000023</c:v>
                </c:pt>
                <c:pt idx="24">
                  <c:v>5.3000000000000025</c:v>
                </c:pt>
                <c:pt idx="25">
                  <c:v>5.5000000000000027</c:v>
                </c:pt>
                <c:pt idx="26">
                  <c:v>5.7000000000000028</c:v>
                </c:pt>
                <c:pt idx="27">
                  <c:v>5.900000000000003</c:v>
                </c:pt>
              </c:numCache>
            </c:numRef>
          </c:xVal>
          <c:yVal>
            <c:numRef>
              <c:f>Sheet4!$L$7:$L$34</c:f>
              <c:numCache>
                <c:formatCode>General</c:formatCode>
                <c:ptCount val="28"/>
                <c:pt idx="0">
                  <c:v>2.5000000000000004</c:v>
                </c:pt>
                <c:pt idx="1">
                  <c:v>2.5000000000000009</c:v>
                </c:pt>
                <c:pt idx="2">
                  <c:v>2.4000000000000008</c:v>
                </c:pt>
                <c:pt idx="3">
                  <c:v>1.9636363636363641</c:v>
                </c:pt>
                <c:pt idx="4">
                  <c:v>1.6615384615384621</c:v>
                </c:pt>
                <c:pt idx="5">
                  <c:v>1.4400000000000006</c:v>
                </c:pt>
                <c:pt idx="6">
                  <c:v>1.2705882352941178</c:v>
                </c:pt>
                <c:pt idx="7">
                  <c:v>1.1368421052631581</c:v>
                </c:pt>
                <c:pt idx="8">
                  <c:v>1.0285714285714289</c:v>
                </c:pt>
                <c:pt idx="9">
                  <c:v>0.93913043478260883</c:v>
                </c:pt>
                <c:pt idx="10">
                  <c:v>0.8640000000000001</c:v>
                </c:pt>
                <c:pt idx="11">
                  <c:v>0.8</c:v>
                </c:pt>
                <c:pt idx="12">
                  <c:v>0.7448275862068966</c:v>
                </c:pt>
                <c:pt idx="13">
                  <c:v>0.6967741935483871</c:v>
                </c:pt>
                <c:pt idx="14">
                  <c:v>0.65454545454545454</c:v>
                </c:pt>
                <c:pt idx="15">
                  <c:v>0.61714285714285699</c:v>
                </c:pt>
                <c:pt idx="16">
                  <c:v>0.58378378378378371</c:v>
                </c:pt>
                <c:pt idx="17">
                  <c:v>0.55384615384615377</c:v>
                </c:pt>
                <c:pt idx="18">
                  <c:v>0.52682926829268284</c:v>
                </c:pt>
                <c:pt idx="19">
                  <c:v>0.50232558139534877</c:v>
                </c:pt>
                <c:pt idx="20">
                  <c:v>0.47999999999999987</c:v>
                </c:pt>
                <c:pt idx="21">
                  <c:v>0.45957446808510621</c:v>
                </c:pt>
                <c:pt idx="22">
                  <c:v>0.44081632653061215</c:v>
                </c:pt>
                <c:pt idx="23">
                  <c:v>0.42352941176470577</c:v>
                </c:pt>
                <c:pt idx="24">
                  <c:v>0.40754716981132055</c:v>
                </c:pt>
                <c:pt idx="25">
                  <c:v>0.39272727272727254</c:v>
                </c:pt>
                <c:pt idx="26">
                  <c:v>0.37894736842105253</c:v>
                </c:pt>
                <c:pt idx="27">
                  <c:v>0.36610169491525407</c:v>
                </c:pt>
              </c:numCache>
            </c:numRef>
          </c:yVal>
          <c:smooth val="0"/>
        </c:ser>
        <c:dLbls>
          <c:showLegendKey val="0"/>
          <c:showVal val="0"/>
          <c:showCatName val="0"/>
          <c:showSerName val="0"/>
          <c:showPercent val="0"/>
          <c:showBubbleSize val="0"/>
        </c:dLbls>
        <c:axId val="231541536"/>
        <c:axId val="231545344"/>
      </c:scatterChart>
      <c:valAx>
        <c:axId val="2315415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Freq (GHz)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1545344"/>
        <c:crosses val="autoZero"/>
        <c:crossBetween val="midCat"/>
      </c:valAx>
      <c:valAx>
        <c:axId val="2315453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Height (m)</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154153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Comparing</a:t>
            </a:r>
            <a:r>
              <a:rPr lang="en-US" altLang="zh-CN" sz="1100" baseline="0"/>
              <a:t> H ratio of different methods copared to current method</a:t>
            </a:r>
            <a:endParaRPr lang="en-US" altLang="zh-CN"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3"/>
          <c:order val="0"/>
          <c:tx>
            <c:strRef>
              <c:f>Sheet4!$W$5</c:f>
              <c:strCache>
                <c:ptCount val="1"/>
                <c:pt idx="0">
                  <c:v>Option 1 (2)</c:v>
                </c:pt>
              </c:strCache>
            </c:strRef>
          </c:tx>
          <c:spPr>
            <a:ln w="19050" cap="rnd">
              <a:solidFill>
                <a:schemeClr val="accent6">
                  <a:lumMod val="75000"/>
                </a:schemeClr>
              </a:solidFill>
              <a:round/>
            </a:ln>
            <a:effectLst/>
          </c:spPr>
          <c:marker>
            <c:symbol val="none"/>
          </c:marker>
          <c:xVal>
            <c:numRef>
              <c:f>Sheet4!$P$7:$P$34</c:f>
              <c:numCache>
                <c:formatCode>General</c:formatCode>
                <c:ptCount val="28"/>
                <c:pt idx="0">
                  <c:v>0.5</c:v>
                </c:pt>
                <c:pt idx="1">
                  <c:v>0.7</c:v>
                </c:pt>
                <c:pt idx="2">
                  <c:v>0.89999999999999991</c:v>
                </c:pt>
                <c:pt idx="3">
                  <c:v>1.0999999999999999</c:v>
                </c:pt>
                <c:pt idx="4">
                  <c:v>1.2999999999999998</c:v>
                </c:pt>
                <c:pt idx="5">
                  <c:v>1.4999999999999998</c:v>
                </c:pt>
                <c:pt idx="6">
                  <c:v>1.6999999999999997</c:v>
                </c:pt>
                <c:pt idx="7">
                  <c:v>1.8999999999999997</c:v>
                </c:pt>
                <c:pt idx="8">
                  <c:v>2.0999999999999996</c:v>
                </c:pt>
                <c:pt idx="9">
                  <c:v>2.2999999999999998</c:v>
                </c:pt>
                <c:pt idx="10">
                  <c:v>2.5</c:v>
                </c:pt>
                <c:pt idx="11">
                  <c:v>2.7</c:v>
                </c:pt>
                <c:pt idx="12">
                  <c:v>2.9000000000000004</c:v>
                </c:pt>
                <c:pt idx="13">
                  <c:v>3.1000000000000005</c:v>
                </c:pt>
                <c:pt idx="14">
                  <c:v>3.3000000000000007</c:v>
                </c:pt>
                <c:pt idx="15">
                  <c:v>3.5000000000000009</c:v>
                </c:pt>
                <c:pt idx="16">
                  <c:v>3.7000000000000011</c:v>
                </c:pt>
                <c:pt idx="17">
                  <c:v>3.9000000000000012</c:v>
                </c:pt>
                <c:pt idx="18">
                  <c:v>4.1000000000000014</c:v>
                </c:pt>
                <c:pt idx="19">
                  <c:v>4.3000000000000016</c:v>
                </c:pt>
                <c:pt idx="20">
                  <c:v>4.5000000000000018</c:v>
                </c:pt>
                <c:pt idx="21">
                  <c:v>4.700000000000002</c:v>
                </c:pt>
                <c:pt idx="22">
                  <c:v>4.9000000000000021</c:v>
                </c:pt>
                <c:pt idx="23">
                  <c:v>5.1000000000000023</c:v>
                </c:pt>
                <c:pt idx="24">
                  <c:v>5.3000000000000025</c:v>
                </c:pt>
                <c:pt idx="25">
                  <c:v>5.5000000000000027</c:v>
                </c:pt>
                <c:pt idx="26">
                  <c:v>5.7000000000000028</c:v>
                </c:pt>
                <c:pt idx="27">
                  <c:v>5.900000000000003</c:v>
                </c:pt>
              </c:numCache>
            </c:numRef>
          </c:xVal>
          <c:yVal>
            <c:numRef>
              <c:f>Sheet4!$W$7:$W$34</c:f>
              <c:numCache>
                <c:formatCode>General</c:formatCode>
                <c:ptCount val="28"/>
                <c:pt idx="0">
                  <c:v>4</c:v>
                </c:pt>
                <c:pt idx="1">
                  <c:v>2.8571428571428577</c:v>
                </c:pt>
                <c:pt idx="2">
                  <c:v>2.2222222222222228</c:v>
                </c:pt>
                <c:pt idx="3">
                  <c:v>1.8181818181818186</c:v>
                </c:pt>
                <c:pt idx="4">
                  <c:v>1.5384615384615388</c:v>
                </c:pt>
                <c:pt idx="5">
                  <c:v>1.3333333333333337</c:v>
                </c:pt>
                <c:pt idx="6">
                  <c:v>1.1764705882352942</c:v>
                </c:pt>
                <c:pt idx="7">
                  <c:v>1.0526315789473686</c:v>
                </c:pt>
                <c:pt idx="8">
                  <c:v>1.0499999999999996</c:v>
                </c:pt>
                <c:pt idx="9">
                  <c:v>1.1499999999999999</c:v>
                </c:pt>
                <c:pt idx="10">
                  <c:v>1.25</c:v>
                </c:pt>
                <c:pt idx="11">
                  <c:v>1.35</c:v>
                </c:pt>
                <c:pt idx="12">
                  <c:v>1.45</c:v>
                </c:pt>
                <c:pt idx="13">
                  <c:v>1.55</c:v>
                </c:pt>
                <c:pt idx="14">
                  <c:v>1.6500000000000004</c:v>
                </c:pt>
                <c:pt idx="15">
                  <c:v>1.7500000000000004</c:v>
                </c:pt>
                <c:pt idx="16">
                  <c:v>1.8500000000000003</c:v>
                </c:pt>
                <c:pt idx="17">
                  <c:v>1.9500000000000006</c:v>
                </c:pt>
                <c:pt idx="18">
                  <c:v>2.0500000000000007</c:v>
                </c:pt>
                <c:pt idx="19">
                  <c:v>2.1500000000000004</c:v>
                </c:pt>
                <c:pt idx="20">
                  <c:v>2.2500000000000009</c:v>
                </c:pt>
                <c:pt idx="21">
                  <c:v>2.350000000000001</c:v>
                </c:pt>
                <c:pt idx="22">
                  <c:v>2.4500000000000006</c:v>
                </c:pt>
                <c:pt idx="23">
                  <c:v>2.5500000000000007</c:v>
                </c:pt>
                <c:pt idx="24">
                  <c:v>2.6500000000000012</c:v>
                </c:pt>
                <c:pt idx="25">
                  <c:v>2.7500000000000018</c:v>
                </c:pt>
                <c:pt idx="26">
                  <c:v>2.850000000000001</c:v>
                </c:pt>
                <c:pt idx="27">
                  <c:v>2.9500000000000015</c:v>
                </c:pt>
              </c:numCache>
            </c:numRef>
          </c:yVal>
          <c:smooth val="0"/>
        </c:ser>
        <c:ser>
          <c:idx val="0"/>
          <c:order val="1"/>
          <c:tx>
            <c:strRef>
              <c:f>Sheet4!$V$5</c:f>
              <c:strCache>
                <c:ptCount val="1"/>
                <c:pt idx="0">
                  <c:v>Option 1 (1)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Sheet4!$P$7:$P$34</c:f>
              <c:numCache>
                <c:formatCode>General</c:formatCode>
                <c:ptCount val="28"/>
                <c:pt idx="0">
                  <c:v>0.5</c:v>
                </c:pt>
                <c:pt idx="1">
                  <c:v>0.7</c:v>
                </c:pt>
                <c:pt idx="2">
                  <c:v>0.89999999999999991</c:v>
                </c:pt>
                <c:pt idx="3">
                  <c:v>1.0999999999999999</c:v>
                </c:pt>
                <c:pt idx="4">
                  <c:v>1.2999999999999998</c:v>
                </c:pt>
                <c:pt idx="5">
                  <c:v>1.4999999999999998</c:v>
                </c:pt>
                <c:pt idx="6">
                  <c:v>1.6999999999999997</c:v>
                </c:pt>
                <c:pt idx="7">
                  <c:v>1.8999999999999997</c:v>
                </c:pt>
                <c:pt idx="8">
                  <c:v>2.0999999999999996</c:v>
                </c:pt>
                <c:pt idx="9">
                  <c:v>2.2999999999999998</c:v>
                </c:pt>
                <c:pt idx="10">
                  <c:v>2.5</c:v>
                </c:pt>
                <c:pt idx="11">
                  <c:v>2.7</c:v>
                </c:pt>
                <c:pt idx="12">
                  <c:v>2.9000000000000004</c:v>
                </c:pt>
                <c:pt idx="13">
                  <c:v>3.1000000000000005</c:v>
                </c:pt>
                <c:pt idx="14">
                  <c:v>3.3000000000000007</c:v>
                </c:pt>
                <c:pt idx="15">
                  <c:v>3.5000000000000009</c:v>
                </c:pt>
                <c:pt idx="16">
                  <c:v>3.7000000000000011</c:v>
                </c:pt>
                <c:pt idx="17">
                  <c:v>3.9000000000000012</c:v>
                </c:pt>
                <c:pt idx="18">
                  <c:v>4.1000000000000014</c:v>
                </c:pt>
                <c:pt idx="19">
                  <c:v>4.3000000000000016</c:v>
                </c:pt>
                <c:pt idx="20">
                  <c:v>4.5000000000000018</c:v>
                </c:pt>
                <c:pt idx="21">
                  <c:v>4.700000000000002</c:v>
                </c:pt>
                <c:pt idx="22">
                  <c:v>4.9000000000000021</c:v>
                </c:pt>
                <c:pt idx="23">
                  <c:v>5.1000000000000023</c:v>
                </c:pt>
                <c:pt idx="24">
                  <c:v>5.3000000000000025</c:v>
                </c:pt>
                <c:pt idx="25">
                  <c:v>5.5000000000000027</c:v>
                </c:pt>
                <c:pt idx="26">
                  <c:v>5.7000000000000028</c:v>
                </c:pt>
                <c:pt idx="27">
                  <c:v>5.900000000000003</c:v>
                </c:pt>
              </c:numCache>
            </c:numRef>
          </c:xVal>
          <c:yVal>
            <c:numRef>
              <c:f>Sheet4!$V$7:$V$34</c:f>
              <c:numCache>
                <c:formatCode>General</c:formatCode>
                <c:ptCount val="28"/>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numCache>
            </c:numRef>
          </c:yVal>
          <c:smooth val="0"/>
        </c:ser>
        <c:ser>
          <c:idx val="2"/>
          <c:order val="2"/>
          <c:tx>
            <c:strRef>
              <c:f>Sheet4!$U$5</c:f>
              <c:strCache>
                <c:ptCount val="1"/>
                <c:pt idx="0">
                  <c:v>Option 2</c:v>
                </c:pt>
              </c:strCache>
            </c:strRef>
          </c:tx>
          <c:spPr>
            <a:ln w="19050" cap="rnd">
              <a:solidFill>
                <a:schemeClr val="accent2"/>
              </a:solidFill>
              <a:round/>
            </a:ln>
            <a:effectLst/>
          </c:spPr>
          <c:marker>
            <c:symbol val="none"/>
          </c:marker>
          <c:xVal>
            <c:numRef>
              <c:f>Sheet4!$P$7:$P$34</c:f>
              <c:numCache>
                <c:formatCode>General</c:formatCode>
                <c:ptCount val="28"/>
                <c:pt idx="0">
                  <c:v>0.5</c:v>
                </c:pt>
                <c:pt idx="1">
                  <c:v>0.7</c:v>
                </c:pt>
                <c:pt idx="2">
                  <c:v>0.89999999999999991</c:v>
                </c:pt>
                <c:pt idx="3">
                  <c:v>1.0999999999999999</c:v>
                </c:pt>
                <c:pt idx="4">
                  <c:v>1.2999999999999998</c:v>
                </c:pt>
                <c:pt idx="5">
                  <c:v>1.4999999999999998</c:v>
                </c:pt>
                <c:pt idx="6">
                  <c:v>1.6999999999999997</c:v>
                </c:pt>
                <c:pt idx="7">
                  <c:v>1.8999999999999997</c:v>
                </c:pt>
                <c:pt idx="8">
                  <c:v>2.0999999999999996</c:v>
                </c:pt>
                <c:pt idx="9">
                  <c:v>2.2999999999999998</c:v>
                </c:pt>
                <c:pt idx="10">
                  <c:v>2.5</c:v>
                </c:pt>
                <c:pt idx="11">
                  <c:v>2.7</c:v>
                </c:pt>
                <c:pt idx="12">
                  <c:v>2.9000000000000004</c:v>
                </c:pt>
                <c:pt idx="13">
                  <c:v>3.1000000000000005</c:v>
                </c:pt>
                <c:pt idx="14">
                  <c:v>3.3000000000000007</c:v>
                </c:pt>
                <c:pt idx="15">
                  <c:v>3.5000000000000009</c:v>
                </c:pt>
                <c:pt idx="16">
                  <c:v>3.7000000000000011</c:v>
                </c:pt>
                <c:pt idx="17">
                  <c:v>3.9000000000000012</c:v>
                </c:pt>
                <c:pt idx="18">
                  <c:v>4.1000000000000014</c:v>
                </c:pt>
                <c:pt idx="19">
                  <c:v>4.3000000000000016</c:v>
                </c:pt>
                <c:pt idx="20">
                  <c:v>4.5000000000000018</c:v>
                </c:pt>
                <c:pt idx="21">
                  <c:v>4.700000000000002</c:v>
                </c:pt>
                <c:pt idx="22">
                  <c:v>4.9000000000000021</c:v>
                </c:pt>
                <c:pt idx="23">
                  <c:v>5.1000000000000023</c:v>
                </c:pt>
                <c:pt idx="24">
                  <c:v>5.3000000000000025</c:v>
                </c:pt>
                <c:pt idx="25">
                  <c:v>5.5000000000000027</c:v>
                </c:pt>
                <c:pt idx="26">
                  <c:v>5.7000000000000028</c:v>
                </c:pt>
                <c:pt idx="27">
                  <c:v>5.900000000000003</c:v>
                </c:pt>
              </c:numCache>
            </c:numRef>
          </c:xVal>
          <c:yVal>
            <c:numRef>
              <c:f>Sheet4!$U$7:$U$34</c:f>
              <c:numCache>
                <c:formatCode>General</c:formatCode>
                <c:ptCount val="28"/>
                <c:pt idx="0">
                  <c:v>1.728</c:v>
                </c:pt>
                <c:pt idx="1">
                  <c:v>1.2342857142857142</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numCache>
            </c:numRef>
          </c:yVal>
          <c:smooth val="0"/>
        </c:ser>
        <c:dLbls>
          <c:showLegendKey val="0"/>
          <c:showVal val="0"/>
          <c:showCatName val="0"/>
          <c:showSerName val="0"/>
          <c:showPercent val="0"/>
          <c:showBubbleSize val="0"/>
        </c:dLbls>
        <c:axId val="231542624"/>
        <c:axId val="231546432"/>
      </c:scatterChart>
      <c:valAx>
        <c:axId val="2315426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Freq (GHz)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1546432"/>
        <c:crosses val="autoZero"/>
        <c:crossBetween val="midCat"/>
      </c:valAx>
      <c:valAx>
        <c:axId val="2315464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H ratio</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154262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9BCCD-DCFC-4E91-99C6-1AC2F9B8C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5803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2020-10-23T15:35:00Z</dcterms:created>
  <dcterms:modified xsi:type="dcterms:W3CDTF">2020-10-23T15:35:00Z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